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F55ECA" w14:textId="2165978D" w:rsidR="006A6A66" w:rsidRPr="006019AA" w:rsidRDefault="00B951F6" w:rsidP="006A6A66">
      <w:pPr>
        <w:jc w:val="center"/>
        <w:rPr>
          <w:rFonts w:ascii="Calibri" w:hAnsi="Calibri" w:cs="Calibri"/>
          <w:sz w:val="32"/>
          <w:szCs w:val="32"/>
        </w:rPr>
      </w:pPr>
      <w:r w:rsidRPr="006019AA">
        <w:rPr>
          <w:rFonts w:ascii="Calibri" w:hAnsi="Calibri" w:cs="Calibri"/>
          <w:sz w:val="32"/>
          <w:szCs w:val="32"/>
        </w:rPr>
        <w:t xml:space="preserve">The </w:t>
      </w:r>
      <w:r w:rsidR="00686FAD" w:rsidRPr="006019AA">
        <w:rPr>
          <w:rFonts w:ascii="Calibri" w:hAnsi="Calibri" w:cs="Calibri"/>
          <w:sz w:val="32"/>
          <w:szCs w:val="32"/>
        </w:rPr>
        <w:t>Model of the Text</w:t>
      </w:r>
      <w:r w:rsidR="00587E22" w:rsidRPr="006019AA">
        <w:rPr>
          <w:rFonts w:ascii="Calibri" w:hAnsi="Calibri" w:cs="Calibri"/>
          <w:sz w:val="32"/>
          <w:szCs w:val="32"/>
        </w:rPr>
        <w:t xml:space="preserve"> and the </w:t>
      </w:r>
      <w:r w:rsidR="004A1333" w:rsidRPr="006019AA">
        <w:rPr>
          <w:rFonts w:ascii="Calibri" w:hAnsi="Calibri" w:cs="Calibri"/>
          <w:sz w:val="32"/>
          <w:szCs w:val="32"/>
        </w:rPr>
        <w:t>Analytic Experience</w:t>
      </w:r>
    </w:p>
    <w:p w14:paraId="48A80A8D" w14:textId="1D39D6E2" w:rsidR="00ED7A9A" w:rsidRPr="00ED7A9A" w:rsidRDefault="00ED7A9A" w:rsidP="00ED7A9A">
      <w:pPr>
        <w:jc w:val="both"/>
        <w:rPr>
          <w:rFonts w:ascii="Arial Rounded MT Bold" w:hAnsi="Arial Rounded MT Bold"/>
          <w:sz w:val="20"/>
          <w:szCs w:val="20"/>
        </w:rPr>
      </w:pPr>
      <w:proofErr w:type="spellStart"/>
      <w:r w:rsidRPr="00ED7A9A">
        <w:rPr>
          <w:rFonts w:ascii="Calibri" w:hAnsi="Calibri" w:cs="Calibri"/>
          <w:sz w:val="20"/>
          <w:szCs w:val="20"/>
        </w:rPr>
        <w:t>Χρε</w:t>
      </w:r>
      <w:r w:rsidRPr="00ED7A9A">
        <w:rPr>
          <w:rFonts w:ascii="Arial" w:hAnsi="Arial" w:cs="Arial"/>
          <w:sz w:val="20"/>
          <w:szCs w:val="20"/>
        </w:rPr>
        <w:t>ὼ</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δέ</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σε</w:t>
      </w:r>
      <w:proofErr w:type="spellEnd"/>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π</w:t>
      </w:r>
      <w:proofErr w:type="spellStart"/>
      <w:r w:rsidRPr="00ED7A9A">
        <w:rPr>
          <w:rFonts w:ascii="Calibri" w:hAnsi="Calibri" w:cs="Calibri"/>
          <w:sz w:val="20"/>
          <w:szCs w:val="20"/>
        </w:rPr>
        <w:t>άντ</w:t>
      </w:r>
      <w:proofErr w:type="spellEnd"/>
      <w:r w:rsidRPr="00ED7A9A">
        <w:rPr>
          <w:rFonts w:ascii="Calibri" w:hAnsi="Calibri" w:cs="Calibri"/>
          <w:sz w:val="20"/>
          <w:szCs w:val="20"/>
        </w:rPr>
        <w:t>α</w:t>
      </w:r>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π</w:t>
      </w:r>
      <w:proofErr w:type="spellStart"/>
      <w:r w:rsidRPr="00ED7A9A">
        <w:rPr>
          <w:rFonts w:ascii="Calibri" w:hAnsi="Calibri" w:cs="Calibri"/>
          <w:sz w:val="20"/>
          <w:szCs w:val="20"/>
        </w:rPr>
        <w:t>υθέσθ</w:t>
      </w:r>
      <w:proofErr w:type="spellEnd"/>
      <w:r w:rsidRPr="00ED7A9A">
        <w:rPr>
          <w:rFonts w:ascii="Calibri" w:hAnsi="Calibri" w:cs="Calibri"/>
          <w:sz w:val="20"/>
          <w:szCs w:val="20"/>
        </w:rPr>
        <w:t>αι</w:t>
      </w:r>
      <w:r w:rsidRPr="00ED7A9A">
        <w:rPr>
          <w:rFonts w:ascii="Arial Rounded MT Bold" w:hAnsi="Arial Rounded MT Bold"/>
          <w:sz w:val="20"/>
          <w:szCs w:val="20"/>
        </w:rPr>
        <w:t xml:space="preserve"> </w:t>
      </w:r>
      <w:proofErr w:type="spellStart"/>
      <w:r w:rsidRPr="00ED7A9A">
        <w:rPr>
          <w:rFonts w:ascii="Arial" w:hAnsi="Arial" w:cs="Arial"/>
          <w:sz w:val="20"/>
          <w:szCs w:val="20"/>
        </w:rPr>
        <w:t>ἠ</w:t>
      </w:r>
      <w:r w:rsidRPr="00ED7A9A">
        <w:rPr>
          <w:rFonts w:ascii="Arial Rounded MT Bold" w:hAnsi="Arial Rounded MT Bold"/>
          <w:sz w:val="20"/>
          <w:szCs w:val="20"/>
        </w:rPr>
        <w:t>µ</w:t>
      </w:r>
      <w:r w:rsidRPr="00ED7A9A">
        <w:rPr>
          <w:rFonts w:ascii="Calibri" w:hAnsi="Calibri" w:cs="Calibri"/>
          <w:sz w:val="20"/>
          <w:szCs w:val="20"/>
        </w:rPr>
        <w:t>έν</w:t>
      </w:r>
      <w:proofErr w:type="spellEnd"/>
      <w:r w:rsidRPr="00ED7A9A">
        <w:rPr>
          <w:rFonts w:ascii="Arial Rounded MT Bold" w:hAnsi="Arial Rounded MT Bold"/>
          <w:sz w:val="20"/>
          <w:szCs w:val="20"/>
        </w:rPr>
        <w:t xml:space="preserve"> </w:t>
      </w:r>
      <w:proofErr w:type="spellStart"/>
      <w:r w:rsidRPr="00ED7A9A">
        <w:rPr>
          <w:rFonts w:ascii="Arial" w:hAnsi="Arial" w:cs="Arial"/>
          <w:sz w:val="20"/>
          <w:szCs w:val="20"/>
        </w:rPr>
        <w:t>Ἀ</w:t>
      </w:r>
      <w:r w:rsidRPr="00ED7A9A">
        <w:rPr>
          <w:rFonts w:ascii="Calibri" w:hAnsi="Calibri" w:cs="Calibri"/>
          <w:sz w:val="20"/>
          <w:szCs w:val="20"/>
        </w:rPr>
        <w:t>ληθείης</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ε</w:t>
      </w:r>
      <w:r w:rsidRPr="00ED7A9A">
        <w:rPr>
          <w:rFonts w:ascii="Arial" w:hAnsi="Arial" w:cs="Arial"/>
          <w:sz w:val="20"/>
          <w:szCs w:val="20"/>
        </w:rPr>
        <w:t>ὐ</w:t>
      </w:r>
      <w:r w:rsidRPr="00ED7A9A">
        <w:rPr>
          <w:rFonts w:ascii="Calibri" w:hAnsi="Calibri" w:cs="Calibri"/>
          <w:sz w:val="20"/>
          <w:szCs w:val="20"/>
        </w:rPr>
        <w:t>κυκλέος</w:t>
      </w:r>
      <w:proofErr w:type="spellEnd"/>
      <w:r w:rsidRPr="00ED7A9A">
        <w:rPr>
          <w:rFonts w:ascii="Arial Rounded MT Bold" w:hAnsi="Arial Rounded MT Bold"/>
          <w:sz w:val="20"/>
          <w:szCs w:val="20"/>
        </w:rPr>
        <w:t xml:space="preserve"> </w:t>
      </w:r>
      <w:proofErr w:type="spellStart"/>
      <w:r w:rsidRPr="00ED7A9A">
        <w:rPr>
          <w:rFonts w:ascii="Arial" w:hAnsi="Arial" w:cs="Arial"/>
          <w:sz w:val="20"/>
          <w:szCs w:val="20"/>
        </w:rPr>
        <w:t>ἀ</w:t>
      </w:r>
      <w:r w:rsidRPr="00ED7A9A">
        <w:rPr>
          <w:rFonts w:ascii="Calibri" w:hAnsi="Calibri" w:cs="Calibri"/>
          <w:sz w:val="20"/>
          <w:szCs w:val="20"/>
        </w:rPr>
        <w:t>τρε</w:t>
      </w:r>
      <w:r w:rsidRPr="00ED7A9A">
        <w:rPr>
          <w:rFonts w:ascii="Arial Rounded MT Bold" w:hAnsi="Arial Rounded MT Bold" w:cs="Arial Rounded MT Bold"/>
          <w:sz w:val="20"/>
          <w:szCs w:val="20"/>
        </w:rPr>
        <w:t>µ</w:t>
      </w:r>
      <w:r w:rsidRPr="00ED7A9A">
        <w:rPr>
          <w:rFonts w:ascii="Arial" w:hAnsi="Arial" w:cs="Arial"/>
          <w:sz w:val="20"/>
          <w:szCs w:val="20"/>
        </w:rPr>
        <w:t>ὲ</w:t>
      </w:r>
      <w:r w:rsidRPr="00ED7A9A">
        <w:rPr>
          <w:rFonts w:ascii="Calibri" w:hAnsi="Calibri" w:cs="Calibri"/>
          <w:sz w:val="20"/>
          <w:szCs w:val="20"/>
        </w:rPr>
        <w:t>ς</w:t>
      </w:r>
      <w:proofErr w:type="spellEnd"/>
      <w:r w:rsidRPr="00ED7A9A">
        <w:rPr>
          <w:rFonts w:ascii="Arial Rounded MT Bold" w:hAnsi="Arial Rounded MT Bold"/>
          <w:sz w:val="20"/>
          <w:szCs w:val="20"/>
        </w:rPr>
        <w:t xml:space="preserve"> </w:t>
      </w:r>
      <w:proofErr w:type="spellStart"/>
      <w:r w:rsidRPr="00ED7A9A">
        <w:rPr>
          <w:rFonts w:ascii="Arial" w:hAnsi="Arial" w:cs="Arial"/>
          <w:sz w:val="20"/>
          <w:szCs w:val="20"/>
        </w:rPr>
        <w:t>ἦ</w:t>
      </w:r>
      <w:r w:rsidRPr="00ED7A9A">
        <w:rPr>
          <w:rFonts w:ascii="Calibri" w:hAnsi="Calibri" w:cs="Calibri"/>
          <w:sz w:val="20"/>
          <w:szCs w:val="20"/>
        </w:rPr>
        <w:t>τορ</w:t>
      </w:r>
      <w:proofErr w:type="spellEnd"/>
      <w:r w:rsidRPr="00ED7A9A">
        <w:rPr>
          <w:rFonts w:ascii="Arial Rounded MT Bold" w:hAnsi="Arial Rounded MT Bold"/>
          <w:sz w:val="20"/>
          <w:szCs w:val="20"/>
        </w:rPr>
        <w:t xml:space="preserve"> </w:t>
      </w:r>
      <w:r w:rsidRPr="00ED7A9A">
        <w:rPr>
          <w:rFonts w:ascii="Arial" w:hAnsi="Arial" w:cs="Arial"/>
          <w:sz w:val="20"/>
          <w:szCs w:val="20"/>
        </w:rPr>
        <w:t>ἠ</w:t>
      </w:r>
      <w:r w:rsidRPr="00ED7A9A">
        <w:rPr>
          <w:rFonts w:ascii="Calibri" w:hAnsi="Calibri" w:cs="Calibri"/>
          <w:sz w:val="20"/>
          <w:szCs w:val="20"/>
        </w:rPr>
        <w:t>δ</w:t>
      </w:r>
      <w:r w:rsidRPr="00ED7A9A">
        <w:rPr>
          <w:rFonts w:ascii="Arial" w:hAnsi="Arial" w:cs="Arial"/>
          <w:sz w:val="20"/>
          <w:szCs w:val="20"/>
        </w:rPr>
        <w:t>ὲ</w:t>
      </w:r>
      <w:r w:rsidRPr="00ED7A9A">
        <w:rPr>
          <w:rFonts w:ascii="Arial Rounded MT Bold" w:hAnsi="Arial Rounded MT Bold"/>
          <w:sz w:val="20"/>
          <w:szCs w:val="20"/>
        </w:rPr>
        <w:t xml:space="preserve"> </w:t>
      </w:r>
      <w:r w:rsidRPr="00ED7A9A">
        <w:rPr>
          <w:rFonts w:ascii="Calibri" w:hAnsi="Calibri" w:cs="Calibri"/>
          <w:sz w:val="20"/>
          <w:szCs w:val="20"/>
        </w:rPr>
        <w:t>β</w:t>
      </w:r>
      <w:proofErr w:type="spellStart"/>
      <w:r w:rsidRPr="00ED7A9A">
        <w:rPr>
          <w:rFonts w:ascii="Calibri" w:hAnsi="Calibri" w:cs="Calibri"/>
          <w:sz w:val="20"/>
          <w:szCs w:val="20"/>
        </w:rPr>
        <w:t>ροτ</w:t>
      </w:r>
      <w:r w:rsidRPr="00ED7A9A">
        <w:rPr>
          <w:rFonts w:ascii="Arial" w:hAnsi="Arial" w:cs="Arial"/>
          <w:sz w:val="20"/>
          <w:szCs w:val="20"/>
        </w:rPr>
        <w:t>ῶ</w:t>
      </w:r>
      <w:r w:rsidRPr="00ED7A9A">
        <w:rPr>
          <w:rFonts w:ascii="Calibri" w:hAnsi="Calibri" w:cs="Calibri"/>
          <w:sz w:val="20"/>
          <w:szCs w:val="20"/>
        </w:rPr>
        <w:t>ν</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δόξ</w:t>
      </w:r>
      <w:proofErr w:type="spellEnd"/>
      <w:r w:rsidRPr="00ED7A9A">
        <w:rPr>
          <w:rFonts w:ascii="Calibri" w:hAnsi="Calibri" w:cs="Calibri"/>
          <w:sz w:val="20"/>
          <w:szCs w:val="20"/>
        </w:rPr>
        <w:t>ας</w:t>
      </w:r>
      <w:r w:rsidRPr="00ED7A9A">
        <w:rPr>
          <w:rFonts w:ascii="Arial Rounded MT Bold" w:hAnsi="Arial Rounded MT Bold"/>
          <w:sz w:val="20"/>
          <w:szCs w:val="20"/>
        </w:rPr>
        <w:t xml:space="preserve">, </w:t>
      </w:r>
      <w:r w:rsidRPr="00ED7A9A">
        <w:rPr>
          <w:rFonts w:ascii="Calibri" w:hAnsi="Calibri" w:cs="Calibri"/>
          <w:sz w:val="20"/>
          <w:szCs w:val="20"/>
        </w:rPr>
        <w:t>τα</w:t>
      </w:r>
      <w:proofErr w:type="spellStart"/>
      <w:r w:rsidRPr="00ED7A9A">
        <w:rPr>
          <w:rFonts w:ascii="Arial" w:hAnsi="Arial" w:cs="Arial"/>
          <w:sz w:val="20"/>
          <w:szCs w:val="20"/>
        </w:rPr>
        <w:t>ῖ</w:t>
      </w:r>
      <w:r w:rsidRPr="00ED7A9A">
        <w:rPr>
          <w:rFonts w:ascii="Calibri" w:hAnsi="Calibri" w:cs="Calibri"/>
          <w:sz w:val="20"/>
          <w:szCs w:val="20"/>
        </w:rPr>
        <w:t>ς</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ο</w:t>
      </w:r>
      <w:r w:rsidRPr="00ED7A9A">
        <w:rPr>
          <w:rFonts w:ascii="Arial" w:hAnsi="Arial" w:cs="Arial"/>
          <w:sz w:val="20"/>
          <w:szCs w:val="20"/>
        </w:rPr>
        <w:t>ὐ</w:t>
      </w:r>
      <w:r w:rsidRPr="00ED7A9A">
        <w:rPr>
          <w:rFonts w:ascii="Calibri" w:hAnsi="Calibri" w:cs="Calibri"/>
          <w:sz w:val="20"/>
          <w:szCs w:val="20"/>
        </w:rPr>
        <w:t>κ</w:t>
      </w:r>
      <w:proofErr w:type="spellEnd"/>
      <w:r w:rsidRPr="00ED7A9A">
        <w:rPr>
          <w:rFonts w:ascii="Arial Rounded MT Bold" w:hAnsi="Arial Rounded MT Bold"/>
          <w:sz w:val="20"/>
          <w:szCs w:val="20"/>
        </w:rPr>
        <w:t xml:space="preserve"> </w:t>
      </w:r>
      <w:proofErr w:type="spellStart"/>
      <w:r w:rsidRPr="00ED7A9A">
        <w:rPr>
          <w:rFonts w:ascii="Arial" w:hAnsi="Arial" w:cs="Arial"/>
          <w:sz w:val="20"/>
          <w:szCs w:val="20"/>
        </w:rPr>
        <w:t>ἔ</w:t>
      </w:r>
      <w:r w:rsidRPr="00ED7A9A">
        <w:rPr>
          <w:rFonts w:ascii="Calibri" w:hAnsi="Calibri" w:cs="Calibri"/>
          <w:sz w:val="20"/>
          <w:szCs w:val="20"/>
        </w:rPr>
        <w:t>νι</w:t>
      </w:r>
      <w:proofErr w:type="spellEnd"/>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π</w:t>
      </w:r>
      <w:proofErr w:type="spellStart"/>
      <w:r w:rsidRPr="00ED7A9A">
        <w:rPr>
          <w:rFonts w:ascii="Calibri" w:hAnsi="Calibri" w:cs="Calibri"/>
          <w:sz w:val="20"/>
          <w:szCs w:val="20"/>
        </w:rPr>
        <w:t>ίστις</w:t>
      </w:r>
      <w:proofErr w:type="spellEnd"/>
      <w:r w:rsidRPr="00ED7A9A">
        <w:rPr>
          <w:rFonts w:ascii="Arial Rounded MT Bold" w:hAnsi="Arial Rounded MT Bold"/>
          <w:sz w:val="20"/>
          <w:szCs w:val="20"/>
        </w:rPr>
        <w:t xml:space="preserve"> </w:t>
      </w:r>
      <w:proofErr w:type="spellStart"/>
      <w:r w:rsidRPr="00ED7A9A">
        <w:rPr>
          <w:rFonts w:ascii="Arial" w:hAnsi="Arial" w:cs="Arial"/>
          <w:sz w:val="20"/>
          <w:szCs w:val="20"/>
        </w:rPr>
        <w:t>ἀ</w:t>
      </w:r>
      <w:r w:rsidRPr="00ED7A9A">
        <w:rPr>
          <w:rFonts w:ascii="Calibri" w:hAnsi="Calibri" w:cs="Calibri"/>
          <w:sz w:val="20"/>
          <w:szCs w:val="20"/>
        </w:rPr>
        <w:t>ληθής</w:t>
      </w:r>
      <w:proofErr w:type="spellEnd"/>
      <w:r w:rsidRPr="00ED7A9A">
        <w:rPr>
          <w:rFonts w:ascii="Arial Rounded MT Bold" w:hAnsi="Arial Rounded MT Bold"/>
          <w:sz w:val="20"/>
          <w:szCs w:val="20"/>
        </w:rPr>
        <w:t xml:space="preserve">. </w:t>
      </w:r>
    </w:p>
    <w:p w14:paraId="7814ACB9" w14:textId="575F9805" w:rsidR="00ED7A9A" w:rsidRDefault="00ED7A9A" w:rsidP="00ED7A9A">
      <w:pPr>
        <w:jc w:val="both"/>
        <w:rPr>
          <w:rFonts w:ascii="Arial Rounded MT Bold" w:hAnsi="Arial Rounded MT Bold"/>
          <w:sz w:val="20"/>
          <w:szCs w:val="20"/>
        </w:rPr>
      </w:pPr>
      <w:proofErr w:type="spellStart"/>
      <w:r w:rsidRPr="00ED7A9A">
        <w:rPr>
          <w:rFonts w:ascii="Arial" w:hAnsi="Arial" w:cs="Arial"/>
          <w:sz w:val="20"/>
          <w:szCs w:val="20"/>
        </w:rPr>
        <w:t>Ἀ</w:t>
      </w:r>
      <w:r w:rsidRPr="00ED7A9A">
        <w:rPr>
          <w:rFonts w:ascii="Calibri" w:hAnsi="Calibri" w:cs="Calibri"/>
          <w:sz w:val="20"/>
          <w:szCs w:val="20"/>
        </w:rPr>
        <w:t>λλ</w:t>
      </w:r>
      <w:proofErr w:type="spellEnd"/>
      <w:r w:rsidRPr="00ED7A9A">
        <w:rPr>
          <w:rFonts w:ascii="Calibri" w:hAnsi="Calibri" w:cs="Calibri"/>
          <w:sz w:val="20"/>
          <w:szCs w:val="20"/>
        </w:rPr>
        <w:t>΄</w:t>
      </w:r>
      <w:r w:rsidRPr="00ED7A9A">
        <w:rPr>
          <w:rFonts w:ascii="Arial Rounded MT Bold" w:hAnsi="Arial Rounded MT Bold"/>
          <w:sz w:val="20"/>
          <w:szCs w:val="20"/>
        </w:rPr>
        <w:t xml:space="preserve"> </w:t>
      </w:r>
      <w:r w:rsidRPr="00ED7A9A">
        <w:rPr>
          <w:rFonts w:ascii="Arial" w:hAnsi="Arial" w:cs="Arial"/>
          <w:sz w:val="20"/>
          <w:szCs w:val="20"/>
        </w:rPr>
        <w:t>ἔ</w:t>
      </w:r>
      <w:r w:rsidRPr="00ED7A9A">
        <w:rPr>
          <w:rFonts w:ascii="Arial Rounded MT Bold" w:hAnsi="Arial Rounded MT Bold"/>
          <w:sz w:val="20"/>
          <w:szCs w:val="20"/>
        </w:rPr>
        <w:t>µπ</w:t>
      </w:r>
      <w:proofErr w:type="spellStart"/>
      <w:r w:rsidRPr="00ED7A9A">
        <w:rPr>
          <w:rFonts w:ascii="Calibri" w:hAnsi="Calibri" w:cs="Calibri"/>
          <w:sz w:val="20"/>
          <w:szCs w:val="20"/>
        </w:rPr>
        <w:t>ης</w:t>
      </w:r>
      <w:proofErr w:type="spellEnd"/>
      <w:r w:rsidRPr="00ED7A9A">
        <w:rPr>
          <w:rFonts w:ascii="Arial Rounded MT Bold" w:hAnsi="Arial Rounded MT Bold"/>
          <w:sz w:val="20"/>
          <w:szCs w:val="20"/>
        </w:rPr>
        <w:t xml:space="preserve"> </w:t>
      </w:r>
      <w:r w:rsidRPr="00ED7A9A">
        <w:rPr>
          <w:rFonts w:ascii="Calibri" w:hAnsi="Calibri" w:cs="Calibri"/>
          <w:sz w:val="20"/>
          <w:szCs w:val="20"/>
        </w:rPr>
        <w:t>κα</w:t>
      </w:r>
      <w:r w:rsidRPr="00ED7A9A">
        <w:rPr>
          <w:rFonts w:ascii="Arial" w:hAnsi="Arial" w:cs="Arial"/>
          <w:sz w:val="20"/>
          <w:szCs w:val="20"/>
        </w:rPr>
        <w:t>ὶ</w:t>
      </w:r>
      <w:r w:rsidRPr="00ED7A9A">
        <w:rPr>
          <w:rFonts w:ascii="Arial Rounded MT Bold" w:hAnsi="Arial Rounded MT Bold"/>
          <w:sz w:val="20"/>
          <w:szCs w:val="20"/>
        </w:rPr>
        <w:t xml:space="preserve"> </w:t>
      </w:r>
      <w:r w:rsidRPr="00ED7A9A">
        <w:rPr>
          <w:rFonts w:ascii="Calibri" w:hAnsi="Calibri" w:cs="Calibri"/>
          <w:sz w:val="20"/>
          <w:szCs w:val="20"/>
        </w:rPr>
        <w:t>τα</w:t>
      </w:r>
      <w:proofErr w:type="spellStart"/>
      <w:r w:rsidRPr="00ED7A9A">
        <w:rPr>
          <w:rFonts w:ascii="Arial" w:hAnsi="Arial" w:cs="Arial"/>
          <w:sz w:val="20"/>
          <w:szCs w:val="20"/>
        </w:rPr>
        <w:t>ῦ</w:t>
      </w:r>
      <w:r w:rsidRPr="00ED7A9A">
        <w:rPr>
          <w:rFonts w:ascii="Calibri" w:hAnsi="Calibri" w:cs="Calibri"/>
          <w:sz w:val="20"/>
          <w:szCs w:val="20"/>
        </w:rPr>
        <w:t>τ</w:t>
      </w:r>
      <w:proofErr w:type="spellEnd"/>
      <w:r w:rsidRPr="00ED7A9A">
        <w:rPr>
          <w:rFonts w:ascii="Calibri" w:hAnsi="Calibri" w:cs="Calibri"/>
          <w:sz w:val="20"/>
          <w:szCs w:val="20"/>
        </w:rPr>
        <w:t>α</w:t>
      </w:r>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µ</w:t>
      </w:r>
      <w:r w:rsidRPr="00ED7A9A">
        <w:rPr>
          <w:rFonts w:ascii="Calibri" w:hAnsi="Calibri" w:cs="Calibri"/>
          <w:sz w:val="20"/>
          <w:szCs w:val="20"/>
        </w:rPr>
        <w:t>α</w:t>
      </w:r>
      <w:proofErr w:type="spellStart"/>
      <w:r w:rsidRPr="00ED7A9A">
        <w:rPr>
          <w:rFonts w:ascii="Calibri" w:hAnsi="Calibri" w:cs="Calibri"/>
          <w:sz w:val="20"/>
          <w:szCs w:val="20"/>
        </w:rPr>
        <w:t>θήσε</w:t>
      </w:r>
      <w:proofErr w:type="spellEnd"/>
      <w:r w:rsidRPr="00ED7A9A">
        <w:rPr>
          <w:rFonts w:ascii="Calibri" w:hAnsi="Calibri" w:cs="Calibri"/>
          <w:sz w:val="20"/>
          <w:szCs w:val="20"/>
        </w:rPr>
        <w:t>αι</w:t>
      </w:r>
      <w:r w:rsidRPr="00ED7A9A">
        <w:rPr>
          <w:rFonts w:ascii="Arial Rounded MT Bold" w:hAnsi="Arial Rounded MT Bold"/>
          <w:sz w:val="20"/>
          <w:szCs w:val="20"/>
        </w:rPr>
        <w:t xml:space="preserve">, </w:t>
      </w:r>
      <w:proofErr w:type="spellStart"/>
      <w:r w:rsidRPr="00ED7A9A">
        <w:rPr>
          <w:rFonts w:ascii="Arial" w:hAnsi="Arial" w:cs="Arial"/>
          <w:sz w:val="20"/>
          <w:szCs w:val="20"/>
        </w:rPr>
        <w:t>ὡ</w:t>
      </w:r>
      <w:r w:rsidRPr="00ED7A9A">
        <w:rPr>
          <w:rFonts w:ascii="Calibri" w:hAnsi="Calibri" w:cs="Calibri"/>
          <w:sz w:val="20"/>
          <w:szCs w:val="20"/>
        </w:rPr>
        <w:t>ς</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τ</w:t>
      </w:r>
      <w:r w:rsidRPr="00ED7A9A">
        <w:rPr>
          <w:rFonts w:ascii="Arial" w:hAnsi="Arial" w:cs="Arial"/>
          <w:sz w:val="20"/>
          <w:szCs w:val="20"/>
        </w:rPr>
        <w:t>ὰ</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δοκο</w:t>
      </w:r>
      <w:r w:rsidRPr="00ED7A9A">
        <w:rPr>
          <w:rFonts w:ascii="Arial" w:hAnsi="Arial" w:cs="Arial"/>
          <w:sz w:val="20"/>
          <w:szCs w:val="20"/>
        </w:rPr>
        <w:t>ῦ</w:t>
      </w:r>
      <w:r w:rsidRPr="00ED7A9A">
        <w:rPr>
          <w:rFonts w:ascii="Calibri" w:hAnsi="Calibri" w:cs="Calibri"/>
          <w:sz w:val="20"/>
          <w:szCs w:val="20"/>
        </w:rPr>
        <w:t>ντ</w:t>
      </w:r>
      <w:proofErr w:type="spellEnd"/>
      <w:r w:rsidRPr="00ED7A9A">
        <w:rPr>
          <w:rFonts w:ascii="Calibri" w:hAnsi="Calibri" w:cs="Calibri"/>
          <w:sz w:val="20"/>
          <w:szCs w:val="20"/>
        </w:rPr>
        <w:t>α</w:t>
      </w:r>
      <w:r w:rsidRPr="00ED7A9A">
        <w:rPr>
          <w:rFonts w:ascii="Arial Rounded MT Bold" w:hAnsi="Arial Rounded MT Bold"/>
          <w:sz w:val="20"/>
          <w:szCs w:val="20"/>
        </w:rPr>
        <w:t xml:space="preserve"> </w:t>
      </w:r>
      <w:proofErr w:type="spellStart"/>
      <w:r w:rsidRPr="00ED7A9A">
        <w:rPr>
          <w:rFonts w:ascii="Calibri" w:hAnsi="Calibri" w:cs="Calibri"/>
          <w:sz w:val="20"/>
          <w:szCs w:val="20"/>
        </w:rPr>
        <w:t>χρ</w:t>
      </w:r>
      <w:r w:rsidRPr="00ED7A9A">
        <w:rPr>
          <w:rFonts w:ascii="Arial" w:hAnsi="Arial" w:cs="Arial"/>
          <w:sz w:val="20"/>
          <w:szCs w:val="20"/>
        </w:rPr>
        <w:t>ῆ</w:t>
      </w:r>
      <w:r w:rsidRPr="00ED7A9A">
        <w:rPr>
          <w:rFonts w:ascii="Calibri" w:hAnsi="Calibri" w:cs="Calibri"/>
          <w:sz w:val="20"/>
          <w:szCs w:val="20"/>
        </w:rPr>
        <w:t>ν</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δοκί</w:t>
      </w:r>
      <w:r w:rsidRPr="00ED7A9A">
        <w:rPr>
          <w:rFonts w:ascii="Arial Rounded MT Bold" w:hAnsi="Arial Rounded MT Bold" w:cs="Arial Rounded MT Bold"/>
          <w:sz w:val="20"/>
          <w:szCs w:val="20"/>
        </w:rPr>
        <w:t>µ</w:t>
      </w:r>
      <w:r w:rsidRPr="00ED7A9A">
        <w:rPr>
          <w:rFonts w:ascii="Calibri" w:hAnsi="Calibri" w:cs="Calibri"/>
          <w:sz w:val="20"/>
          <w:szCs w:val="20"/>
        </w:rPr>
        <w:t>ως</w:t>
      </w:r>
      <w:proofErr w:type="spellEnd"/>
      <w:r w:rsidRPr="00ED7A9A">
        <w:rPr>
          <w:rFonts w:ascii="Arial Rounded MT Bold" w:hAnsi="Arial Rounded MT Bold"/>
          <w:sz w:val="20"/>
          <w:szCs w:val="20"/>
        </w:rPr>
        <w:t xml:space="preserve"> </w:t>
      </w:r>
      <w:proofErr w:type="spellStart"/>
      <w:r w:rsidRPr="00ED7A9A">
        <w:rPr>
          <w:rFonts w:ascii="Calibri" w:hAnsi="Calibri" w:cs="Calibri"/>
          <w:sz w:val="20"/>
          <w:szCs w:val="20"/>
        </w:rPr>
        <w:t>ε</w:t>
      </w:r>
      <w:r w:rsidRPr="00ED7A9A">
        <w:rPr>
          <w:rFonts w:ascii="Arial" w:hAnsi="Arial" w:cs="Arial"/>
          <w:sz w:val="20"/>
          <w:szCs w:val="20"/>
        </w:rPr>
        <w:t>ἶ</w:t>
      </w:r>
      <w:r w:rsidRPr="00ED7A9A">
        <w:rPr>
          <w:rFonts w:ascii="Calibri" w:hAnsi="Calibri" w:cs="Calibri"/>
          <w:sz w:val="20"/>
          <w:szCs w:val="20"/>
        </w:rPr>
        <w:t>ν</w:t>
      </w:r>
      <w:proofErr w:type="spellEnd"/>
      <w:r w:rsidRPr="00ED7A9A">
        <w:rPr>
          <w:rFonts w:ascii="Calibri" w:hAnsi="Calibri" w:cs="Calibri"/>
          <w:sz w:val="20"/>
          <w:szCs w:val="20"/>
        </w:rPr>
        <w:t>αι</w:t>
      </w:r>
      <w:r w:rsidRPr="00ED7A9A">
        <w:rPr>
          <w:rFonts w:ascii="Arial Rounded MT Bold" w:hAnsi="Arial Rounded MT Bold"/>
          <w:sz w:val="20"/>
          <w:szCs w:val="20"/>
        </w:rPr>
        <w:t xml:space="preserve"> </w:t>
      </w:r>
      <w:proofErr w:type="spellStart"/>
      <w:r w:rsidRPr="00ED7A9A">
        <w:rPr>
          <w:rFonts w:ascii="Calibri" w:hAnsi="Calibri" w:cs="Calibri"/>
          <w:sz w:val="20"/>
          <w:szCs w:val="20"/>
        </w:rPr>
        <w:t>δι</w:t>
      </w:r>
      <w:r w:rsidRPr="00ED7A9A">
        <w:rPr>
          <w:rFonts w:ascii="Arial" w:hAnsi="Arial" w:cs="Arial"/>
          <w:sz w:val="20"/>
          <w:szCs w:val="20"/>
        </w:rPr>
        <w:t>ὰ</w:t>
      </w:r>
      <w:proofErr w:type="spellEnd"/>
      <w:r w:rsidRPr="00ED7A9A">
        <w:rPr>
          <w:rFonts w:ascii="Arial Rounded MT Bold" w:hAnsi="Arial Rounded MT Bold"/>
          <w:sz w:val="20"/>
          <w:szCs w:val="20"/>
        </w:rPr>
        <w:t xml:space="preserve"> π</w:t>
      </w:r>
      <w:r w:rsidRPr="00ED7A9A">
        <w:rPr>
          <w:rFonts w:ascii="Calibri" w:hAnsi="Calibri" w:cs="Calibri"/>
          <w:sz w:val="20"/>
          <w:szCs w:val="20"/>
        </w:rPr>
        <w:t>α</w:t>
      </w:r>
      <w:proofErr w:type="spellStart"/>
      <w:r w:rsidRPr="00ED7A9A">
        <w:rPr>
          <w:rFonts w:ascii="Calibri" w:hAnsi="Calibri" w:cs="Calibri"/>
          <w:sz w:val="20"/>
          <w:szCs w:val="20"/>
        </w:rPr>
        <w:t>ντ</w:t>
      </w:r>
      <w:r w:rsidRPr="00ED7A9A">
        <w:rPr>
          <w:rFonts w:ascii="Arial" w:hAnsi="Arial" w:cs="Arial"/>
          <w:sz w:val="20"/>
          <w:szCs w:val="20"/>
        </w:rPr>
        <w:t>ὸ</w:t>
      </w:r>
      <w:r w:rsidRPr="00ED7A9A">
        <w:rPr>
          <w:rFonts w:ascii="Calibri" w:hAnsi="Calibri" w:cs="Calibri"/>
          <w:sz w:val="20"/>
          <w:szCs w:val="20"/>
        </w:rPr>
        <w:t>ς</w:t>
      </w:r>
      <w:proofErr w:type="spellEnd"/>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π</w:t>
      </w:r>
      <w:proofErr w:type="spellStart"/>
      <w:r w:rsidRPr="00ED7A9A">
        <w:rPr>
          <w:rFonts w:ascii="Calibri" w:hAnsi="Calibri" w:cs="Calibri"/>
          <w:sz w:val="20"/>
          <w:szCs w:val="20"/>
        </w:rPr>
        <w:t>άντ</w:t>
      </w:r>
      <w:proofErr w:type="spellEnd"/>
      <w:r w:rsidRPr="00ED7A9A">
        <w:rPr>
          <w:rFonts w:ascii="Calibri" w:hAnsi="Calibri" w:cs="Calibri"/>
          <w:sz w:val="20"/>
          <w:szCs w:val="20"/>
        </w:rPr>
        <w:t>α</w:t>
      </w:r>
      <w:r w:rsidRPr="00ED7A9A">
        <w:rPr>
          <w:rFonts w:ascii="Arial Rounded MT Bold" w:hAnsi="Arial Rounded MT Bold"/>
          <w:sz w:val="20"/>
          <w:szCs w:val="20"/>
        </w:rPr>
        <w:t xml:space="preserve"> </w:t>
      </w:r>
      <w:r w:rsidRPr="00ED7A9A">
        <w:rPr>
          <w:rFonts w:ascii="Arial Rounded MT Bold" w:hAnsi="Arial Rounded MT Bold" w:cs="Arial Rounded MT Bold"/>
          <w:sz w:val="20"/>
          <w:szCs w:val="20"/>
        </w:rPr>
        <w:t>π</w:t>
      </w:r>
      <w:proofErr w:type="spellStart"/>
      <w:r w:rsidRPr="00ED7A9A">
        <w:rPr>
          <w:rFonts w:ascii="Calibri" w:hAnsi="Calibri" w:cs="Calibri"/>
          <w:sz w:val="20"/>
          <w:szCs w:val="20"/>
        </w:rPr>
        <w:t>ερ</w:t>
      </w:r>
      <w:r w:rsidRPr="00ED7A9A">
        <w:rPr>
          <w:rFonts w:ascii="Arial" w:hAnsi="Arial" w:cs="Arial"/>
          <w:sz w:val="20"/>
          <w:szCs w:val="20"/>
        </w:rPr>
        <w:t>ῶ</w:t>
      </w:r>
      <w:r w:rsidRPr="00ED7A9A">
        <w:rPr>
          <w:rFonts w:ascii="Calibri" w:hAnsi="Calibri" w:cs="Calibri"/>
          <w:sz w:val="20"/>
          <w:szCs w:val="20"/>
        </w:rPr>
        <w:t>ντ</w:t>
      </w:r>
      <w:proofErr w:type="spellEnd"/>
      <w:r w:rsidRPr="00ED7A9A">
        <w:rPr>
          <w:rFonts w:ascii="Calibri" w:hAnsi="Calibri" w:cs="Calibri"/>
          <w:sz w:val="20"/>
          <w:szCs w:val="20"/>
        </w:rPr>
        <w:t>α</w:t>
      </w:r>
      <w:r w:rsidRPr="00ED7A9A">
        <w:rPr>
          <w:rFonts w:ascii="Arial Rounded MT Bold" w:hAnsi="Arial Rounded MT Bold"/>
          <w:sz w:val="20"/>
          <w:szCs w:val="20"/>
        </w:rPr>
        <w:t>.</w:t>
      </w:r>
      <w:r>
        <w:rPr>
          <w:rStyle w:val="FootnoteReference"/>
          <w:rFonts w:ascii="Arial Rounded MT Bold" w:hAnsi="Arial Rounded MT Bold"/>
          <w:sz w:val="20"/>
          <w:szCs w:val="20"/>
        </w:rPr>
        <w:footnoteReference w:id="1"/>
      </w:r>
    </w:p>
    <w:p w14:paraId="13D5BEDB" w14:textId="45572503" w:rsidR="00ED7A9A" w:rsidRDefault="00ED7A9A" w:rsidP="00ED7A9A">
      <w:pPr>
        <w:jc w:val="center"/>
      </w:pPr>
      <w:r>
        <w:t>1</w:t>
      </w:r>
    </w:p>
    <w:p w14:paraId="5C48A9EA" w14:textId="43BC9150" w:rsidR="004B43A9" w:rsidRDefault="00EC7DA7" w:rsidP="0002508D">
      <w:pPr>
        <w:spacing w:line="480" w:lineRule="auto"/>
      </w:pPr>
      <w:r>
        <w:t xml:space="preserve">In </w:t>
      </w:r>
      <w:r w:rsidR="000F0EAC">
        <w:t xml:space="preserve">the lecture entitled </w:t>
      </w:r>
      <w:r w:rsidR="000F0EAC" w:rsidRPr="000F0EAC">
        <w:rPr>
          <w:i/>
        </w:rPr>
        <w:t>Narrative: Its Place in Psychoanalysis</w:t>
      </w:r>
      <w:r w:rsidR="000F0EAC">
        <w:rPr>
          <w:i/>
        </w:rPr>
        <w:t xml:space="preserve"> </w:t>
      </w:r>
      <w:r w:rsidR="00ED7A9A" w:rsidRPr="00ED7A9A">
        <w:t>before</w:t>
      </w:r>
      <w:r w:rsidR="00ED7A9A">
        <w:t xml:space="preserve"> asking the question</w:t>
      </w:r>
      <w:r w:rsidR="00ED7A9A" w:rsidRPr="00ED7A9A">
        <w:t xml:space="preserve"> </w:t>
      </w:r>
      <w:r w:rsidR="000F0EAC">
        <w:t>“What</w:t>
      </w:r>
      <w:r w:rsidR="00ED7A9A">
        <w:t xml:space="preserve"> </w:t>
      </w:r>
      <w:r w:rsidR="000F0EAC">
        <w:t>is it that distinguishes the analytic fact from all other facts?”</w:t>
      </w:r>
      <w:r w:rsidR="00ED7A9A">
        <w:t xml:space="preserve"> </w:t>
      </w:r>
      <w:proofErr w:type="spellStart"/>
      <w:r w:rsidR="00ED7A9A">
        <w:t>Ricoeur</w:t>
      </w:r>
      <w:proofErr w:type="spellEnd"/>
      <w:r w:rsidR="00ED7A9A">
        <w:t xml:space="preserve"> (writes/says):</w:t>
      </w:r>
    </w:p>
    <w:p w14:paraId="341F6FBF" w14:textId="6E71DF48" w:rsidR="00ED7A9A" w:rsidRDefault="00ED7A9A" w:rsidP="00ED7A9A">
      <w:pPr>
        <w:ind w:left="720"/>
      </w:pPr>
      <w:r>
        <w:t xml:space="preserve">Currently, I am trying to reinterpret psychoanalysis by taking as my starting point, not the theory, but what happens in analytic experience itself, that is, what happens in the relation between analysand and analyst, </w:t>
      </w:r>
      <w:proofErr w:type="gramStart"/>
      <w:r>
        <w:t>in particular in</w:t>
      </w:r>
      <w:proofErr w:type="gramEnd"/>
      <w:r>
        <w:t xml:space="preserve"> the transference phase.</w:t>
      </w:r>
      <w:r>
        <w:rPr>
          <w:rStyle w:val="FootnoteReference"/>
        </w:rPr>
        <w:footnoteReference w:id="2"/>
      </w:r>
    </w:p>
    <w:p w14:paraId="1FED38AF" w14:textId="5D0858A6" w:rsidR="00ED7A9A" w:rsidRDefault="00ED7A9A" w:rsidP="0002508D">
      <w:pPr>
        <w:spacing w:line="480" w:lineRule="auto"/>
      </w:pPr>
      <w:proofErr w:type="spellStart"/>
      <w:r>
        <w:t>Ricoeur</w:t>
      </w:r>
      <w:proofErr w:type="spellEnd"/>
      <w:r>
        <w:t xml:space="preserve"> goes on to offer an admission that “without having experienced the practice” he awaits “the corrections of those who do practice” and then proceeds to embark on a discussion intended to “reintroduce the narrative element into the structure of the analytic experience, by showing how it introduces itself into what I will call the criteriology of the analytic fact.”</w:t>
      </w:r>
    </w:p>
    <w:p w14:paraId="46F30247" w14:textId="159391C3" w:rsidR="00ED7A9A" w:rsidRDefault="00ED7A9A" w:rsidP="0002508D">
      <w:pPr>
        <w:spacing w:line="480" w:lineRule="auto"/>
      </w:pPr>
      <w:r>
        <w:t xml:space="preserve">So </w:t>
      </w:r>
      <w:r>
        <w:t>“What is it that distinguishes the analytic fact from all other facts?”</w:t>
      </w:r>
      <w:r>
        <w:t xml:space="preserve"> A criteriology consisting of 4 elements. Analytic </w:t>
      </w:r>
      <w:r>
        <w:lastRenderedPageBreak/>
        <w:t xml:space="preserve">experience is brought to you by </w:t>
      </w:r>
      <w:proofErr w:type="gramStart"/>
      <w:r>
        <w:t>1)presuppositions</w:t>
      </w:r>
      <w:proofErr w:type="gramEnd"/>
      <w:r>
        <w:t xml:space="preserve"> that “the deepest affects are not foreign to language,” 2)the dialogical structure of human desire, 3)a relation to reality and others constituted by an imaginary, deceptive illusion, 4)the narrative dimension.</w:t>
      </w:r>
    </w:p>
    <w:p w14:paraId="594B94E5" w14:textId="6264432B" w:rsidR="00ED7A9A" w:rsidRDefault="00ED7A9A" w:rsidP="0002508D">
      <w:pPr>
        <w:spacing w:line="480" w:lineRule="auto"/>
      </w:pPr>
      <w:r>
        <w:t>But first, what are other facts? (Alternative Facts!?!)</w:t>
      </w:r>
    </w:p>
    <w:p w14:paraId="2680CAC4" w14:textId="2F68E627" w:rsidR="00ED7A9A" w:rsidRDefault="00ED7A9A" w:rsidP="0002508D">
      <w:pPr>
        <w:spacing w:line="480" w:lineRule="auto"/>
        <w:rPr>
          <w:i/>
        </w:rPr>
      </w:pPr>
      <w:r>
        <w:t xml:space="preserve">Elsewhere </w:t>
      </w:r>
      <w:proofErr w:type="spellStart"/>
      <w:r>
        <w:t>Ricoeur</w:t>
      </w:r>
      <w:proofErr w:type="spellEnd"/>
      <w:r>
        <w:t xml:space="preserve"> writes, “strictly speaking, there are no facts in psychoanalysis, for the analyst does not observe, he interprets.”</w:t>
      </w:r>
      <w:r>
        <w:rPr>
          <w:rStyle w:val="FootnoteReference"/>
        </w:rPr>
        <w:footnoteReference w:id="3"/>
      </w:r>
      <w:r>
        <w:t xml:space="preserve"> I think the key to the distinction between the analytic fact and all other facts lies in </w:t>
      </w:r>
      <w:proofErr w:type="spellStart"/>
      <w:r>
        <w:t>Ricoeur’s</w:t>
      </w:r>
      <w:proofErr w:type="spellEnd"/>
      <w:r>
        <w:t xml:space="preserve"> “</w:t>
      </w:r>
      <w:r>
        <w:t>fresh approach to the question of</w:t>
      </w:r>
      <w:r>
        <w:t xml:space="preserve"> </w:t>
      </w:r>
      <w:r>
        <w:t>the</w:t>
      </w:r>
      <w:r>
        <w:t xml:space="preserve"> </w:t>
      </w:r>
      <w:r>
        <w:t>relation between</w:t>
      </w:r>
      <w:r>
        <w:t xml:space="preserve"> </w:t>
      </w:r>
      <w:proofErr w:type="spellStart"/>
      <w:r w:rsidRPr="00ED7A9A">
        <w:rPr>
          <w:i/>
        </w:rPr>
        <w:t>erklaren</w:t>
      </w:r>
      <w:proofErr w:type="spellEnd"/>
      <w:r>
        <w:t xml:space="preserve"> (explanation) and </w:t>
      </w:r>
      <w:r w:rsidRPr="00ED7A9A">
        <w:rPr>
          <w:i/>
        </w:rPr>
        <w:t>verstehen</w:t>
      </w:r>
      <w:r>
        <w:t xml:space="preserve"> (understanding, comprehension) in the</w:t>
      </w:r>
      <w:r>
        <w:t xml:space="preserve"> </w:t>
      </w:r>
      <w:r>
        <w:t>human sciences</w:t>
      </w:r>
      <w:r>
        <w:t>”</w:t>
      </w:r>
      <w:r>
        <w:rPr>
          <w:rStyle w:val="FootnoteReference"/>
        </w:rPr>
        <w:footnoteReference w:id="4"/>
      </w:r>
      <w:r>
        <w:t xml:space="preserve"> offered by the Paradigm of Text-Interpretation. What are we to make of </w:t>
      </w:r>
      <w:proofErr w:type="spellStart"/>
      <w:r>
        <w:t>Dilthey’s</w:t>
      </w:r>
      <w:proofErr w:type="spellEnd"/>
      <w:r>
        <w:t xml:space="preserve"> “</w:t>
      </w:r>
      <w:r>
        <w:t>wrestling with this paradox</w:t>
      </w:r>
      <w:r>
        <w:t>” clarified “</w:t>
      </w:r>
      <w:r>
        <w:t xml:space="preserve">after having read Husserl's </w:t>
      </w:r>
      <w:r w:rsidRPr="00ED7A9A">
        <w:rPr>
          <w:i/>
        </w:rPr>
        <w:t>Logical Investigations</w:t>
      </w:r>
      <w:r>
        <w:rPr>
          <w:i/>
        </w:rPr>
        <w:t xml:space="preserve">” </w:t>
      </w:r>
      <w:r w:rsidRPr="00ED7A9A">
        <w:t>that</w:t>
      </w:r>
      <w:r w:rsidR="00D3567C">
        <w:t>:</w:t>
      </w:r>
      <w:r w:rsidRPr="00ED7A9A">
        <w:rPr>
          <w:i/>
        </w:rPr>
        <w:t xml:space="preserve"> </w:t>
      </w:r>
    </w:p>
    <w:p w14:paraId="3A2A2228" w14:textId="20AB515B" w:rsidR="00ED7A9A" w:rsidRDefault="00ED7A9A" w:rsidP="00ED7A9A">
      <w:pPr>
        <w:ind w:left="720"/>
      </w:pPr>
      <w:proofErr w:type="spellStart"/>
      <w:r w:rsidRPr="00ED7A9A">
        <w:rPr>
          <w:i/>
        </w:rPr>
        <w:t>Geisteswissenschaften</w:t>
      </w:r>
      <w:proofErr w:type="spellEnd"/>
      <w:r>
        <w:t xml:space="preserve"> are sciences inasmuch as the expressions of life undergo a kind of objectification which makes possible a scientific approach somewhat </w:t>
      </w:r>
      <w:proofErr w:type="gramStart"/>
      <w:r>
        <w:t>similar to</w:t>
      </w:r>
      <w:proofErr w:type="gramEnd"/>
      <w:r>
        <w:t xml:space="preserve"> that of the natural sciences, in spite of the logical gap between </w:t>
      </w:r>
      <w:proofErr w:type="spellStart"/>
      <w:r w:rsidRPr="00ED7A9A">
        <w:rPr>
          <w:i/>
        </w:rPr>
        <w:t>Natur</w:t>
      </w:r>
      <w:proofErr w:type="spellEnd"/>
      <w:r>
        <w:t xml:space="preserve"> and </w:t>
      </w:r>
      <w:r w:rsidRPr="00ED7A9A">
        <w:rPr>
          <w:i/>
        </w:rPr>
        <w:t>Geist</w:t>
      </w:r>
      <w:r>
        <w:t>, factual knowledge and knowledge by signs. In this way the mediation offered by these objectifications appeared to be more important, for a scientific purpose, than the immediate meaningfulness of the expressions of life for everyday transactions.</w:t>
      </w:r>
      <w:r>
        <w:rPr>
          <w:rStyle w:val="FootnoteReference"/>
        </w:rPr>
        <w:footnoteReference w:id="5"/>
      </w:r>
    </w:p>
    <w:p w14:paraId="1A07919A" w14:textId="77777777" w:rsidR="00B31EB1" w:rsidRDefault="00BC0CAE" w:rsidP="00D3567C">
      <w:pPr>
        <w:spacing w:line="480" w:lineRule="auto"/>
      </w:pPr>
      <w:r>
        <w:lastRenderedPageBreak/>
        <w:t xml:space="preserve">I believe </w:t>
      </w:r>
      <w:r w:rsidR="00425ECF">
        <w:t>that which</w:t>
      </w:r>
      <w:r>
        <w:t xml:space="preserve"> </w:t>
      </w:r>
      <w:r w:rsidR="000446B3">
        <w:t>distinguishes</w:t>
      </w:r>
      <w:r w:rsidR="008F5FC0">
        <w:t xml:space="preserve"> this </w:t>
      </w:r>
      <w:r w:rsidR="00741DBA">
        <w:t>“</w:t>
      </w:r>
      <w:r w:rsidR="00741DBA">
        <w:t xml:space="preserve">logical gap between </w:t>
      </w:r>
      <w:proofErr w:type="spellStart"/>
      <w:r w:rsidR="00741DBA" w:rsidRPr="00ED7A9A">
        <w:rPr>
          <w:i/>
        </w:rPr>
        <w:t>Natur</w:t>
      </w:r>
      <w:proofErr w:type="spellEnd"/>
      <w:r w:rsidR="00741DBA">
        <w:t xml:space="preserve"> and </w:t>
      </w:r>
      <w:r w:rsidR="00741DBA" w:rsidRPr="00ED7A9A">
        <w:rPr>
          <w:i/>
        </w:rPr>
        <w:t>Geist</w:t>
      </w:r>
      <w:r w:rsidR="00741DBA">
        <w:t>, factual knowledge and knowledge by signs</w:t>
      </w:r>
      <w:r w:rsidR="003B73ED">
        <w:t xml:space="preserve">” </w:t>
      </w:r>
      <w:r w:rsidR="005C6D97">
        <w:t>i</w:t>
      </w:r>
      <w:r w:rsidR="003B73ED">
        <w:t xml:space="preserve">s the same </w:t>
      </w:r>
      <w:r w:rsidR="00A63C9B">
        <w:t xml:space="preserve">as that between </w:t>
      </w:r>
      <w:r w:rsidR="005C6D97">
        <w:t>“</w:t>
      </w:r>
      <w:r w:rsidR="00A63C9B">
        <w:t xml:space="preserve">the </w:t>
      </w:r>
      <w:r w:rsidR="009C1BEC">
        <w:t>analytic fact and all other facts</w:t>
      </w:r>
      <w:r w:rsidR="00E44233">
        <w:t>.</w:t>
      </w:r>
      <w:r w:rsidR="009C1BEC">
        <w:t>”</w:t>
      </w:r>
      <w:r w:rsidR="002356B0">
        <w:t xml:space="preserve"> </w:t>
      </w:r>
      <w:r w:rsidR="00701C49">
        <w:t xml:space="preserve">In other </w:t>
      </w:r>
      <w:proofErr w:type="gramStart"/>
      <w:r w:rsidR="00701C49">
        <w:t>words</w:t>
      </w:r>
      <w:proofErr w:type="gramEnd"/>
      <w:r w:rsidR="00701C49">
        <w:t xml:space="preserve"> </w:t>
      </w:r>
      <w:r w:rsidR="00756AB9">
        <w:t xml:space="preserve">as </w:t>
      </w:r>
      <w:r w:rsidR="00701C49">
        <w:t>the</w:t>
      </w:r>
      <w:r w:rsidR="00616B9C">
        <w:t xml:space="preserve"> </w:t>
      </w:r>
      <w:r w:rsidR="00616B9C">
        <w:t>4</w:t>
      </w:r>
      <w:r w:rsidR="00616B9C">
        <w:t xml:space="preserve"> </w:t>
      </w:r>
      <w:r w:rsidR="00756AB9">
        <w:t>structur</w:t>
      </w:r>
      <w:r w:rsidR="00756AB9">
        <w:t xml:space="preserve">al </w:t>
      </w:r>
      <w:r w:rsidR="00616B9C">
        <w:t>elements</w:t>
      </w:r>
      <w:r w:rsidR="00D069C4">
        <w:t xml:space="preserve"> </w:t>
      </w:r>
      <w:r w:rsidR="00777407">
        <w:t xml:space="preserve">of </w:t>
      </w:r>
      <w:r w:rsidR="00C17756">
        <w:t xml:space="preserve">the </w:t>
      </w:r>
      <w:r w:rsidR="00400442">
        <w:t>analytic experience</w:t>
      </w:r>
      <w:r w:rsidR="00321CD4">
        <w:t xml:space="preserve"> coalesce in the narrative dimension</w:t>
      </w:r>
      <w:r w:rsidR="00A318D6">
        <w:t xml:space="preserve"> </w:t>
      </w:r>
      <w:r w:rsidR="00440F64">
        <w:t>“</w:t>
      </w:r>
      <w:r w:rsidR="00A318D6">
        <w:t>the</w:t>
      </w:r>
      <w:r w:rsidR="006B33FF">
        <w:t xml:space="preserve"> model of the text</w:t>
      </w:r>
      <w:r w:rsidR="00440F64">
        <w:t>”</w:t>
      </w:r>
      <w:r w:rsidR="006B33FF">
        <w:t xml:space="preserve"> </w:t>
      </w:r>
      <w:r w:rsidR="001A5482">
        <w:t xml:space="preserve">shows </w:t>
      </w:r>
      <w:r w:rsidR="00402EA3">
        <w:t xml:space="preserve">how the experience itself constitutes </w:t>
      </w:r>
      <w:r w:rsidR="00440F64">
        <w:t>“</w:t>
      </w:r>
      <w:r w:rsidR="00402EA3">
        <w:t>meaningful action</w:t>
      </w:r>
      <w:r w:rsidR="00440F64">
        <w:t>.”</w:t>
      </w:r>
    </w:p>
    <w:p w14:paraId="6B4CD9F5" w14:textId="77777777" w:rsidR="00373546" w:rsidRDefault="00873B41" w:rsidP="00D3567C">
      <w:pPr>
        <w:spacing w:line="480" w:lineRule="auto"/>
      </w:pPr>
      <w:r>
        <w:t xml:space="preserve">Let us now examine </w:t>
      </w:r>
      <w:r w:rsidR="00FC0096">
        <w:t xml:space="preserve">our </w:t>
      </w:r>
      <w:r w:rsidR="00E44233">
        <w:t>crit</w:t>
      </w:r>
      <w:r w:rsidR="00E44233">
        <w:t>eriology</w:t>
      </w:r>
      <w:r w:rsidR="003B2CB8">
        <w:t xml:space="preserve"> beside the</w:t>
      </w:r>
      <w:r w:rsidR="00B9157A">
        <w:t xml:space="preserve"> features</w:t>
      </w:r>
      <w:r w:rsidR="00AD7389">
        <w:t xml:space="preserve"> of the paradigm of text inter</w:t>
      </w:r>
      <w:r w:rsidR="00FD5CBE">
        <w:t>pretation mainly:</w:t>
      </w:r>
    </w:p>
    <w:p w14:paraId="7FC71F33" w14:textId="02B490E2" w:rsidR="00F22B06" w:rsidRDefault="00373546" w:rsidP="00F22B06">
      <w:pPr>
        <w:spacing w:line="240" w:lineRule="auto"/>
        <w:ind w:left="720"/>
      </w:pPr>
      <w:r>
        <w:t>(1) the fixation of the meaning, (2) its dissociation</w:t>
      </w:r>
      <w:r w:rsidR="000F7411">
        <w:t xml:space="preserve"> </w:t>
      </w:r>
      <w:bookmarkStart w:id="0" w:name="_GoBack"/>
      <w:bookmarkEnd w:id="0"/>
      <w:r>
        <w:t>from the mental intention of the author, (3) the display of</w:t>
      </w:r>
      <w:r w:rsidR="000E0B1A">
        <w:t xml:space="preserve"> </w:t>
      </w:r>
      <w:r>
        <w:t>non-ostensive references, and (4) the universal range of its addresses.</w:t>
      </w:r>
    </w:p>
    <w:p w14:paraId="25985FFA" w14:textId="4391A753" w:rsidR="00ED7A9A" w:rsidRDefault="001655DD" w:rsidP="001655DD">
      <w:pPr>
        <w:spacing w:line="240" w:lineRule="auto"/>
      </w:pPr>
      <w:r>
        <w:t xml:space="preserve">Because </w:t>
      </w:r>
      <w:r w:rsidR="00E51084">
        <w:t xml:space="preserve">he says </w:t>
      </w:r>
      <w:r>
        <w:t>“t</w:t>
      </w:r>
      <w:r>
        <w:t xml:space="preserve">hese four traits taken together constitute the </w:t>
      </w:r>
      <w:r w:rsidR="000D52D8">
        <w:t>‘</w:t>
      </w:r>
      <w:r>
        <w:t>objectivity</w:t>
      </w:r>
      <w:r w:rsidR="000D52D8">
        <w:t>’</w:t>
      </w:r>
      <w:r>
        <w:t xml:space="preserve"> of the text. From this </w:t>
      </w:r>
      <w:r w:rsidR="000D52D8">
        <w:t>‘</w:t>
      </w:r>
      <w:r>
        <w:t>objectivity</w:t>
      </w:r>
      <w:r w:rsidR="000D52D8">
        <w:t>’</w:t>
      </w:r>
      <w:r>
        <w:t xml:space="preserve"> derives a possibility of explaining which is not derived in any way from another field, that of natural events, but which is congenial to this kind of objectivity</w:t>
      </w:r>
      <w:r w:rsidR="009F4114">
        <w:t xml:space="preserve"> </w:t>
      </w:r>
      <w:r w:rsidR="00E44233">
        <w:t xml:space="preserve"> </w:t>
      </w:r>
    </w:p>
    <w:sectPr w:rsidR="00ED7A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E2587" w14:textId="77777777" w:rsidR="00ED7A9A" w:rsidRDefault="00ED7A9A" w:rsidP="00ED7A9A">
      <w:pPr>
        <w:spacing w:after="0" w:line="240" w:lineRule="auto"/>
      </w:pPr>
      <w:r>
        <w:separator/>
      </w:r>
    </w:p>
  </w:endnote>
  <w:endnote w:type="continuationSeparator" w:id="0">
    <w:p w14:paraId="5B86E4DC" w14:textId="77777777" w:rsidR="00ED7A9A" w:rsidRDefault="00ED7A9A" w:rsidP="00ED7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BEEB8" w14:textId="77777777" w:rsidR="00ED7A9A" w:rsidRDefault="00ED7A9A" w:rsidP="00ED7A9A">
      <w:pPr>
        <w:spacing w:after="0" w:line="240" w:lineRule="auto"/>
      </w:pPr>
      <w:r>
        <w:separator/>
      </w:r>
    </w:p>
  </w:footnote>
  <w:footnote w:type="continuationSeparator" w:id="0">
    <w:p w14:paraId="15E1898A" w14:textId="77777777" w:rsidR="00ED7A9A" w:rsidRDefault="00ED7A9A" w:rsidP="00ED7A9A">
      <w:pPr>
        <w:spacing w:after="0" w:line="240" w:lineRule="auto"/>
      </w:pPr>
      <w:r>
        <w:continuationSeparator/>
      </w:r>
    </w:p>
  </w:footnote>
  <w:footnote w:id="1">
    <w:p w14:paraId="08617540" w14:textId="77777777" w:rsidR="00ED7A9A" w:rsidRDefault="00ED7A9A" w:rsidP="00ED7A9A">
      <w:pPr>
        <w:pStyle w:val="FootnoteText"/>
      </w:pPr>
      <w:r>
        <w:rPr>
          <w:rStyle w:val="FootnoteReference"/>
        </w:rPr>
        <w:footnoteRef/>
      </w:r>
      <w:r>
        <w:t xml:space="preserve"> </w:t>
      </w:r>
      <w:r>
        <w:t>And what is needed is for you to learn all things: both the unshaken heart of persuasive Truth and the opinions of mortals, in which there is nothing that can be trusted at all.</w:t>
      </w:r>
    </w:p>
    <w:p w14:paraId="1DDBD325" w14:textId="77777777" w:rsidR="00ED7A9A" w:rsidRDefault="00ED7A9A" w:rsidP="00ED7A9A">
      <w:pPr>
        <w:pStyle w:val="FootnoteText"/>
      </w:pPr>
      <w:r>
        <w:t>But even so, this too you will learn—how beliefs based on appearance ought to be believable as they travel all through all there is.</w:t>
      </w:r>
    </w:p>
    <w:p w14:paraId="0957D508" w14:textId="066219D1" w:rsidR="00ED7A9A" w:rsidRDefault="00ED7A9A" w:rsidP="00ED7A9A">
      <w:pPr>
        <w:pStyle w:val="FootnoteText"/>
      </w:pPr>
      <w:r>
        <w:t>From the Poem of Parmenides</w:t>
      </w:r>
      <w:r>
        <w:t xml:space="preserve"> (Peter Kingsley translation)</w:t>
      </w:r>
    </w:p>
  </w:footnote>
  <w:footnote w:id="2">
    <w:p w14:paraId="218FB7DB" w14:textId="1685739B" w:rsidR="00ED7A9A" w:rsidRDefault="00ED7A9A">
      <w:pPr>
        <w:pStyle w:val="FootnoteText"/>
      </w:pPr>
      <w:r>
        <w:rPr>
          <w:rStyle w:val="FootnoteReference"/>
        </w:rPr>
        <w:footnoteRef/>
      </w:r>
      <w:r>
        <w:t xml:space="preserve"> On Psychoanalysis p. 202</w:t>
      </w:r>
    </w:p>
  </w:footnote>
  <w:footnote w:id="3">
    <w:p w14:paraId="4F92A37E" w14:textId="3442025B" w:rsidR="00ED7A9A" w:rsidRDefault="00ED7A9A">
      <w:pPr>
        <w:pStyle w:val="FootnoteText"/>
      </w:pPr>
      <w:r>
        <w:rPr>
          <w:rStyle w:val="FootnoteReference"/>
        </w:rPr>
        <w:footnoteRef/>
      </w:r>
      <w:r>
        <w:t xml:space="preserve"> Freud &amp; Philosophy p. 365</w:t>
      </w:r>
    </w:p>
  </w:footnote>
  <w:footnote w:id="4">
    <w:p w14:paraId="62513FC2" w14:textId="5280578B" w:rsidR="00ED7A9A" w:rsidRDefault="00ED7A9A">
      <w:pPr>
        <w:pStyle w:val="FootnoteText"/>
      </w:pPr>
      <w:r>
        <w:rPr>
          <w:rStyle w:val="FootnoteReference"/>
        </w:rPr>
        <w:footnoteRef/>
      </w:r>
      <w:r>
        <w:t xml:space="preserve"> From text to action p 327</w:t>
      </w:r>
    </w:p>
  </w:footnote>
  <w:footnote w:id="5">
    <w:p w14:paraId="13E555F4" w14:textId="504965B6" w:rsidR="00ED7A9A" w:rsidRDefault="00ED7A9A">
      <w:pPr>
        <w:pStyle w:val="FootnoteText"/>
      </w:pPr>
      <w:r>
        <w:rPr>
          <w:rStyle w:val="FootnoteReference"/>
        </w:rPr>
        <w:footnoteRef/>
      </w:r>
      <w:r>
        <w:t xml:space="preserve"> ibid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168"/>
    <w:rsid w:val="0002508D"/>
    <w:rsid w:val="000446B3"/>
    <w:rsid w:val="000D52D8"/>
    <w:rsid w:val="000E0B1A"/>
    <w:rsid w:val="000F0EAC"/>
    <w:rsid w:val="000F7411"/>
    <w:rsid w:val="001655DD"/>
    <w:rsid w:val="001A5482"/>
    <w:rsid w:val="00213168"/>
    <w:rsid w:val="00217BBF"/>
    <w:rsid w:val="002356B0"/>
    <w:rsid w:val="00321CD4"/>
    <w:rsid w:val="00373546"/>
    <w:rsid w:val="003B2CB8"/>
    <w:rsid w:val="003B73ED"/>
    <w:rsid w:val="00400442"/>
    <w:rsid w:val="00402EA3"/>
    <w:rsid w:val="00425ECF"/>
    <w:rsid w:val="00440F64"/>
    <w:rsid w:val="004A1333"/>
    <w:rsid w:val="004B43A9"/>
    <w:rsid w:val="00587E22"/>
    <w:rsid w:val="005C6D97"/>
    <w:rsid w:val="006019AA"/>
    <w:rsid w:val="00616B9C"/>
    <w:rsid w:val="00686FAD"/>
    <w:rsid w:val="006A6A66"/>
    <w:rsid w:val="006B33FF"/>
    <w:rsid w:val="00701C49"/>
    <w:rsid w:val="00741DBA"/>
    <w:rsid w:val="00756AB9"/>
    <w:rsid w:val="00771DFF"/>
    <w:rsid w:val="00777407"/>
    <w:rsid w:val="007C0E9F"/>
    <w:rsid w:val="007F6443"/>
    <w:rsid w:val="00873B41"/>
    <w:rsid w:val="008B449F"/>
    <w:rsid w:val="008F5FC0"/>
    <w:rsid w:val="009C1BEC"/>
    <w:rsid w:val="009F4114"/>
    <w:rsid w:val="00A318D6"/>
    <w:rsid w:val="00A63C9B"/>
    <w:rsid w:val="00AD7389"/>
    <w:rsid w:val="00B31EB1"/>
    <w:rsid w:val="00B9157A"/>
    <w:rsid w:val="00B951F6"/>
    <w:rsid w:val="00BC0CAE"/>
    <w:rsid w:val="00C17756"/>
    <w:rsid w:val="00D069C4"/>
    <w:rsid w:val="00D3567C"/>
    <w:rsid w:val="00E44233"/>
    <w:rsid w:val="00E51084"/>
    <w:rsid w:val="00EC7DA7"/>
    <w:rsid w:val="00ED7A9A"/>
    <w:rsid w:val="00F22B06"/>
    <w:rsid w:val="00FB2922"/>
    <w:rsid w:val="00FC0096"/>
    <w:rsid w:val="00FD5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B02FC69"/>
  <w15:chartTrackingRefBased/>
  <w15:docId w15:val="{4D362003-398B-45BE-86E8-9A100E10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Theme="minorHAnsi" w:hAnsi="Courier New" w:cs="Courier New"/>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ED7A9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7A9A"/>
    <w:rPr>
      <w:sz w:val="20"/>
      <w:szCs w:val="20"/>
    </w:rPr>
  </w:style>
  <w:style w:type="character" w:styleId="FootnoteReference">
    <w:name w:val="footnote reference"/>
    <w:basedOn w:val="DefaultParagraphFont"/>
    <w:uiPriority w:val="99"/>
    <w:semiHidden/>
    <w:unhideWhenUsed/>
    <w:rsid w:val="00ED7A9A"/>
    <w:rPr>
      <w:vertAlign w:val="superscript"/>
    </w:rPr>
  </w:style>
  <w:style w:type="paragraph" w:styleId="ListParagraph">
    <w:name w:val="List Paragraph"/>
    <w:basedOn w:val="Normal"/>
    <w:uiPriority w:val="34"/>
    <w:qFormat/>
    <w:rsid w:val="00F22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6A020-0739-4970-B2CF-F2137FDA5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3</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52</cp:revision>
  <dcterms:created xsi:type="dcterms:W3CDTF">2019-02-05T16:39:00Z</dcterms:created>
  <dcterms:modified xsi:type="dcterms:W3CDTF">2019-02-06T21:34:00Z</dcterms:modified>
</cp:coreProperties>
</file>