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D1528C" w14:textId="68521D57" w:rsidR="00E526E6" w:rsidRDefault="00C53433" w:rsidP="00F84820">
      <w:pPr>
        <w:spacing w:line="480" w:lineRule="auto"/>
        <w:jc w:val="center"/>
      </w:pPr>
      <w:r>
        <w:t xml:space="preserve">Comments on </w:t>
      </w:r>
      <w:r w:rsidR="00E526E6">
        <w:t>Berkeley’s Second Dialogue</w:t>
      </w:r>
    </w:p>
    <w:p w14:paraId="65589A47" w14:textId="77777777" w:rsidR="001324A4" w:rsidRDefault="00E526E6" w:rsidP="00F84820">
      <w:pPr>
        <w:spacing w:line="480" w:lineRule="auto"/>
      </w:pPr>
      <w:r>
        <w:tab/>
        <w:t xml:space="preserve">Many of the issues discussed by Hylas and Philonous in Berkeley’s second dialogue are but further clarification of themes already discussed in either the </w:t>
      </w:r>
      <w:r w:rsidRPr="00E526E6">
        <w:rPr>
          <w:i/>
        </w:rPr>
        <w:t>Treatise</w:t>
      </w:r>
      <w:r>
        <w:t xml:space="preserve"> or </w:t>
      </w:r>
      <w:r w:rsidR="00F84820">
        <w:t xml:space="preserve">the preceding </w:t>
      </w:r>
      <w:r>
        <w:t xml:space="preserve">dialogue.  There are, however, three salient points I would like to reiterate.  The first is </w:t>
      </w:r>
      <w:r w:rsidR="00F84820">
        <w:t>the conversation about the brain and the second is Berkeley’s new spin on the cosmological argument.  Lastly I would like to also mention briefly Philonous’ use of the word volitional.</w:t>
      </w:r>
    </w:p>
    <w:p w14:paraId="13237255" w14:textId="40448EB2" w:rsidR="00F84820" w:rsidRDefault="00F84820" w:rsidP="00F84820">
      <w:pPr>
        <w:spacing w:line="480" w:lineRule="auto"/>
      </w:pPr>
      <w:r>
        <w:tab/>
      </w:r>
      <w:r w:rsidR="00803181">
        <w:t xml:space="preserve">Hylas begins the day’s discussion with an attempt to </w:t>
      </w:r>
      <w:r w:rsidR="007C4B30">
        <w:t xml:space="preserve">salvage the “modern” notion that the brain is the locus of the mind.  He says: “It is supposed that the mind resides in some part of the brain, from which the nerves </w:t>
      </w:r>
      <w:r w:rsidR="00181293">
        <w:t xml:space="preserve">originate…outer objects act…on the sense organs, starting up certain vibrations in the nerves; that the nerves pass these vibrations along to the brain and that [thus] the mind is variously affected with ideas.”  Although this seems a bit straw man I </w:t>
      </w:r>
      <w:r w:rsidR="003E08DE">
        <w:t xml:space="preserve">think it does, in </w:t>
      </w:r>
      <w:r w:rsidR="00181293">
        <w:t xml:space="preserve">the most basic sense, </w:t>
      </w:r>
      <w:r w:rsidR="003E08DE">
        <w:t xml:space="preserve">describe the “accepted” view, from Locke to Searle.  </w:t>
      </w:r>
      <w:bookmarkStart w:id="0" w:name="_GoBack"/>
      <w:bookmarkEnd w:id="0"/>
    </w:p>
    <w:sectPr w:rsidR="00F84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6E6"/>
    <w:rsid w:val="001324A4"/>
    <w:rsid w:val="00181293"/>
    <w:rsid w:val="003E08DE"/>
    <w:rsid w:val="007C4B30"/>
    <w:rsid w:val="00803181"/>
    <w:rsid w:val="00C53433"/>
    <w:rsid w:val="00E526E6"/>
    <w:rsid w:val="00F8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1A169"/>
  <w15:chartTrackingRefBased/>
  <w15:docId w15:val="{A9E84179-8678-4C81-B33B-07192B29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7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26B8CCD-7D0B-48A8-BF9C-3A2094C448FE}">
  <we:reference id="wa102925879" version="1.2.0.0" store="en-US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Williamson</dc:creator>
  <cp:keywords/>
  <dc:description/>
  <cp:lastModifiedBy>Stephen Williamson</cp:lastModifiedBy>
  <cp:revision>2</cp:revision>
  <dcterms:created xsi:type="dcterms:W3CDTF">2013-10-22T18:08:00Z</dcterms:created>
  <dcterms:modified xsi:type="dcterms:W3CDTF">2013-10-26T18:05:00Z</dcterms:modified>
</cp:coreProperties>
</file>