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Georgia" w:cs="Georgia" w:eastAsia="Georgia" w:hAnsi="Georgia"/>
          <w:b/>
          <w:bCs/>
          <w:color w:val="666666"/>
          <w:sz w:val="28"/>
          <w:szCs w:val="28"/>
        </w:rPr>
        <w:t xml:space="preserve">Chapter 3</w:t>
      </w:r>
    </w:p>
    <w:p>
      <w:pPr>
        <w:spacing w:after="80" w:before="0"/>
        <w:jc w:val="center"/>
      </w:pPr>
      <w:r>
        <w:rPr>
          <w:rFonts w:ascii="Georgia" w:cs="Georgia" w:eastAsia="Georgia" w:hAnsi="Georgia"/>
          <w:b/>
          <w:bCs/>
          <w:sz w:val="48"/>
          <w:szCs w:val="48"/>
        </w:rPr>
        <w:t xml:space="preserve">No One: οὐδεὶς</w:t>
      </w:r>
    </w:p>
    <w:p>
      <w:pPr>
        <w:spacing w:after="400" w:before="0"/>
        <w:jc w:val="center"/>
      </w:pPr>
      <w:r>
        <w:rPr>
          <w:rFonts w:ascii="Georgia" w:cs="Georgia" w:eastAsia="Georgia" w:hAnsi="Georgia"/>
          <w:i/>
          <w:iCs/>
          <w:color w:val="666666"/>
          <w:sz w:val="28"/>
          <w:szCs w:val="28"/>
        </w:rPr>
        <w:t xml:space="preserve">The Architecture of the Void</w:t>
      </w:r>
    </w:p>
    <w:p>
      <w:pPr>
        <w:spacing w:after="80" w:before="160" w:line="320"/>
        <w:ind w:left="720" w:right="720"/>
      </w:pPr>
      <w:r>
        <w:rPr>
          <w:i/>
          <w:iCs/>
        </w:rPr>
        <w:t xml:space="preserve">The roaring of lions, the howling of wolves, the raging of the stormy sea, and the destructive sword, are portions of eternity, too great for the eye of man.</w:t>
      </w:r>
    </w:p>
    <w:p>
      <w:pPr>
        <w:spacing w:after="200" w:before="0" w:line="320"/>
        <w:ind w:left="720" w:right="720"/>
        <w:jc w:val="right"/>
      </w:pPr>
      <w:r>
        <w:t xml:space="preserve">— William Blake, </w:t>
      </w:r>
      <w:r>
        <w:rPr>
          <w:i/>
          <w:iCs/>
        </w:rPr>
        <w:t xml:space="preserve">The Marriage of Heaven and Hell</w:t>
      </w:r>
      <w:r>
        <w:t xml:space="preserve"> (1790), Plate 8</w:t>
      </w:r>
    </w:p>
    <w:p>
      <w:pPr>
        <w:spacing w:after="160" w:line="320"/>
      </w:pPr>
      <w:r>
        <w:rPr>
          <w:b/>
          <w:bCs/>
        </w:rPr>
        <w:t xml:space="preserve">Theme.</w:t>
      </w:r>
      <w:r>
        <w:t xml:space="preserve"> </w:t>
      </w:r>
      <w:r>
        <w:rPr>
          <w:i/>
          <w:iCs/>
        </w:rPr>
        <w:t xml:space="preserve">Oudeis</w:t>
      </w:r>
      <w:r>
        <w:t xml:space="preserve"> (οὐδεὶς) names the necessary ontological condition of the threshold, not the identity of an excluded group. The "no one" who cannot come to the Father is the same no one Job had to become in order to survive the Whirlwind. This is, I think, the most consequential exegetical move in this commentary, and so it is worth slowing down to perform it carefully.</w:t>
      </w:r>
    </w:p>
    <w:p>
      <w:pPr>
        <w:pBdr>
          <w:bottom w:val="single" w:color="999999" w:sz="6" w:space="6"/>
        </w:pBdr>
        <w:spacing w:after="200" w:before="200"/>
      </w:pPr>
      <w:r>
        <w:t xml:space="preserve"/>
      </w:r>
    </w:p>
    <w:p>
      <w:pPr>
        <w:pStyle w:val="Heading2"/>
        <w:spacing w:after="160" w:before="280"/>
      </w:pPr>
      <w:r>
        <w:rPr>
          <w:rFonts w:ascii="Georgia" w:cs="Georgia" w:eastAsia="Georgia" w:hAnsi="Georgia"/>
          <w:b/>
          <w:bCs/>
          <w:sz w:val="28"/>
          <w:szCs w:val="28"/>
        </w:rPr>
        <w:t xml:space="preserve">Opening Move</w:t>
      </w:r>
    </w:p>
    <w:p>
      <w:pPr>
        <w:spacing w:after="160" w:line="320"/>
      </w:pPr>
      <w:r>
        <w:t xml:space="preserve">The reader of John 14:6 expects a chapter about exclusion. What I want to argue is that they are reading a chapter about transformation.</w:t>
      </w:r>
    </w:p>
    <w:p>
      <w:pPr>
        <w:spacing w:after="160" w:line="320"/>
      </w:pPr>
      <w:r>
        <w:t xml:space="preserve">This reframing is not imposed on the verse from outside. It is demanded by John's own grammar. </w:t>
      </w:r>
      <w:r>
        <w:rPr>
          <w:i/>
          <w:iCs/>
        </w:rPr>
        <w:t xml:space="preserve">Oudeis</w:t>
      </w:r>
      <w:r>
        <w:t xml:space="preserve"> is the subject of the conditional clause: </w:t>
      </w:r>
      <w:r>
        <w:rPr>
          <w:i/>
          <w:iCs/>
        </w:rPr>
        <w:t xml:space="preserve">no one comes except through me</w:t>
      </w:r>
      <w:r>
        <w:t xml:space="preserve">. The Greek word stands at the threshold and names what stands there — not who has been kept away from it. To read </w:t>
      </w:r>
      <w:r>
        <w:rPr>
          <w:i/>
          <w:iCs/>
        </w:rPr>
        <w:t xml:space="preserve">oudeis</w:t>
      </w:r>
      <w:r>
        <w:t xml:space="preserve"> as a demographic claim ("members of other religions are excluded") is to mistake the grammatical subject of the sentence for a hidden direct object. The verse does not describe the excluded. It describes the condition.</w:t>
      </w:r>
    </w:p>
    <w:p>
      <w:pPr>
        <w:spacing w:after="160" w:line="320"/>
      </w:pPr>
      <w:r>
        <w:t xml:space="preserve">Blake understood this in his own idiom. The "portions of eternity, too great for the eye of man" are not refusing the eye. They are exceeding it. The lion's roar, the wolf's howl, the storm's rage, the sword's destruction — these are not the contents of revelation but its mode. They are what makes the eye unable to remain the kind of eye it was. Whatever sees must be remade in the seeing. The Whirlwind that finally answers Job does not give him information. It dissolves the kind of subject who was asking.</w:t>
      </w:r>
    </w:p>
    <w:p>
      <w:pPr>
        <w:spacing w:after="160" w:line="320"/>
      </w:pPr>
      <w:r>
        <w:t xml:space="preserve">What I am going to argue across this chapter is that </w:t>
      </w:r>
      <w:r>
        <w:rPr>
          <w:i/>
          <w:iCs/>
        </w:rPr>
        <w:t xml:space="preserve">oudeis</w:t>
      </w:r>
      <w:r>
        <w:t xml:space="preserve"> names that same dissolution, transposed into the grammar of Greek and the theology of John. The "no one" who comes to the Father comes </w:t>
      </w:r>
      <w:r>
        <w:rPr>
          <w:i/>
          <w:iCs/>
        </w:rPr>
        <w:t xml:space="preserve">as</w:t>
      </w:r>
      <w:r>
        <w:t xml:space="preserve"> no one. The via negativa, which Christian tradition usually applies to the names of God, must be applied first to the names of the self.</w:t>
      </w:r>
    </w:p>
    <w:p>
      <w:pPr>
        <w:pBdr>
          <w:bottom w:val="single" w:color="999999" w:sz="6" w:space="6"/>
        </w:pBdr>
        <w:spacing w:after="200" w:before="200"/>
      </w:pPr>
      <w:r>
        <w:t xml:space="preserve"/>
      </w:r>
    </w:p>
    <w:p>
      <w:pPr>
        <w:pStyle w:val="Heading2"/>
        <w:spacing w:after="160" w:before="280"/>
      </w:pPr>
      <w:r>
        <w:rPr>
          <w:rFonts w:ascii="Georgia" w:cs="Georgia" w:eastAsia="Georgia" w:hAnsi="Georgia"/>
          <w:b/>
          <w:bCs/>
          <w:sz w:val="28"/>
          <w:szCs w:val="28"/>
        </w:rPr>
        <w:t xml:space="preserve">3.1 — The Grammar of Oudeis</w:t>
      </w:r>
    </w:p>
    <w:p>
      <w:pPr>
        <w:spacing w:after="160" w:line="320"/>
      </w:pPr>
      <w:r>
        <w:t xml:space="preserve">A close reading of the Greek demands an absolute negation. </w:t>
      </w:r>
      <w:r>
        <w:rPr>
          <w:i/>
          <w:iCs/>
        </w:rPr>
        <w:t xml:space="preserve">Oudeis</w:t>
      </w:r>
      <w:r>
        <w:t xml:space="preserve"> (οὐδεὶς) is a compound of </w:t>
      </w:r>
      <w:r>
        <w:rPr>
          <w:i/>
          <w:iCs/>
        </w:rPr>
        <w:t xml:space="preserve">ou</w:t>
      </w:r>
      <w:r>
        <w:t xml:space="preserve"> (not) and </w:t>
      </w:r>
      <w:r>
        <w:rPr>
          <w:i/>
          <w:iCs/>
        </w:rPr>
        <w:t xml:space="preserve">heis</w:t>
      </w:r>
      <w:r>
        <w:t xml:space="preserve"> (one) — literally "not one," "not even one." It is the strongest negation Greek can offer. The word does not mean "few people." It does not mean "none except the qualified." It means absolute no-one-ness.</w:t>
      </w:r>
    </w:p>
    <w:p>
      <w:pPr>
        <w:spacing w:after="160" w:line="320"/>
      </w:pPr>
      <w:r>
        <w:t xml:space="preserve">The word is used elsewhere in John with the same force. "No one (</w:t>
      </w:r>
      <w:r>
        <w:rPr>
          <w:i/>
          <w:iCs/>
        </w:rPr>
        <w:t xml:space="preserve">oudeis</w:t>
      </w:r>
      <w:r>
        <w:t xml:space="preserve">) has ever seen God" (1:18). "No one (</w:t>
      </w:r>
      <w:r>
        <w:rPr>
          <w:i/>
          <w:iCs/>
        </w:rPr>
        <w:t xml:space="preserve">oudeis</w:t>
      </w:r>
      <w:r>
        <w:t xml:space="preserve">) can come to me unless the Father draws him" (6:44). In each case </w:t>
      </w:r>
      <w:r>
        <w:rPr>
          <w:i/>
          <w:iCs/>
        </w:rPr>
        <w:t xml:space="preserve">oudeis</w:t>
      </w:r>
      <w:r>
        <w:t xml:space="preserve"> marks an absolute condition rather than a statistical or demographic claim. The standard reading — </w:t>
      </w:r>
      <w:r>
        <w:rPr>
          <w:i/>
          <w:iCs/>
        </w:rPr>
        <w:t xml:space="preserve">oudeis</w:t>
      </w:r>
      <w:r>
        <w:t xml:space="preserve"> as social boundary, sorting the saved from the damned — has to import an assumption the Greek itself does not contain.</w:t>
      </w:r>
    </w:p>
    <w:p>
      <w:pPr>
        <w:spacing w:after="160" w:line="320"/>
      </w:pPr>
      <w:r>
        <w:t xml:space="preserve">The grammatical subject of John 14:6 is the one who comes. The condition of that coming is that they come as </w:t>
      </w:r>
      <w:r>
        <w:rPr>
          <w:i/>
          <w:iCs/>
        </w:rPr>
        <w:t xml:space="preserve">oudeis</w:t>
      </w:r>
      <w:r>
        <w:t xml:space="preserve">. This is not a paradox. It is a specification of mode. The verse tells you what kind of self can pass through the threshold; it does not pre-sort selves into categories before they have approached.</w:t>
      </w:r>
      <w:r>
        <w:rPr>
          <w:rStyle w:val="FootnoteReference"/>
        </w:rPr>
        <w:footnoteReference w:id="1"/>
      </w:r>
    </w:p>
    <w:p>
      <w:pPr>
        <w:spacing w:after="160" w:line="320"/>
      </w:pPr>
      <w:r>
        <w:t xml:space="preserve">I want to underscore a small but important physical detail of the early textual tradition here. In manuscripts like 𝔓⁶⁶ (Bodmer II), one of the oldest near-complete copies of John we possess, the word "Father" is consistently written as a </w:t>
      </w:r>
      <w:r>
        <w:rPr>
          <w:i/>
          <w:iCs/>
        </w:rPr>
        <w:t xml:space="preserve">nomen sacrum</w:t>
      </w:r>
      <w:r>
        <w:t xml:space="preserve"> — abbreviated and marked with an overline. The Absolute does not appear on the page in profane longhand. It is hidden inside its own contraction, visible only as a mark above letters that do not spell it out. The scribe enacts on the page what the verse describes in the soul: the Father is approached through a kind of disappearance. What is most fully named is named most sparingly.</w:t>
      </w:r>
      <w:r>
        <w:rPr>
          <w:rStyle w:val="FootnoteReference"/>
        </w:rPr>
        <w:footnoteReference w:id="2"/>
      </w:r>
    </w:p>
    <w:p>
      <w:pPr>
        <w:pBdr>
          <w:left w:val="single" w:color="888888" w:sz="12" w:space="12"/>
        </w:pBdr>
        <w:spacing w:after="200" w:before="200" w:line="320"/>
        <w:ind w:left="720" w:right="720"/>
      </w:pPr>
      <w:r>
        <w:rPr>
          <w:i/>
          <w:iCs/>
          <w:color w:val="555555"/>
        </w:rPr>
        <w:t xml:space="preserve">Generative question for this section: how hard do I want to press the </w:t>
      </w:r>
      <w:r>
        <w:rPr>
          <w:i/>
          <w:iCs/>
          <w:color w:val="555555"/>
        </w:rPr>
        <w:t xml:space="preserve">nomen sacrum</w:t>
      </w:r>
      <w:r>
        <w:rPr>
          <w:i/>
          <w:iCs/>
          <w:color w:val="555555"/>
        </w:rPr>
        <w:t xml:space="preserve"> observation? It can carry real interpretive weight (the page itself performs the apophatic gesture), but it risks becoming a flourish if I don't tie it to the larger structural argument about the verse's mode of address.</w:t>
      </w:r>
    </w:p>
    <w:p>
      <w:pPr>
        <w:pBdr>
          <w:bottom w:val="single" w:color="999999" w:sz="6" w:space="6"/>
        </w:pBdr>
        <w:spacing w:after="200" w:before="200"/>
      </w:pPr>
      <w:r>
        <w:t xml:space="preserve"/>
      </w:r>
    </w:p>
    <w:p>
      <w:pPr>
        <w:pStyle w:val="Heading2"/>
        <w:spacing w:after="160" w:before="280"/>
      </w:pPr>
      <w:r>
        <w:rPr>
          <w:rFonts w:ascii="Georgia" w:cs="Georgia" w:eastAsia="Georgia" w:hAnsi="Georgia"/>
          <w:b/>
          <w:bCs/>
          <w:sz w:val="28"/>
          <w:szCs w:val="28"/>
        </w:rPr>
        <w:t xml:space="preserve">3.2 — The Via Negativa: Negating the Self, Not Just God</w:t>
      </w:r>
    </w:p>
    <w:p>
      <w:pPr>
        <w:spacing w:after="160" w:line="320"/>
      </w:pPr>
      <w:r>
        <w:t xml:space="preserve">The apophatic tradition in Christian mysticism — Pseudo-Dionysius, Gregory of Nyssa, the </w:t>
      </w:r>
      <w:r>
        <w:rPr>
          <w:i/>
          <w:iCs/>
        </w:rPr>
        <w:t xml:space="preserve">Cloud of Unknowing</w:t>
      </w:r>
      <w:r>
        <w:t xml:space="preserve">, Meister Eckhart — is usually presented as the negation of God's names. Strip away the predicates one by one: not this, not this, not this. What remains, the unsayable, is what the tradition has called darkness, cloud, abyss.</w:t>
      </w:r>
    </w:p>
    <w:p>
      <w:pPr>
        <w:spacing w:after="160" w:line="320"/>
      </w:pPr>
      <w:r>
        <w:t xml:space="preserve">But the deeper movement of the via negativa, the one I think the tradition itself sometimes obscures, is the negation of the </w:t>
      </w:r>
      <w:r>
        <w:rPr>
          <w:i/>
          <w:iCs/>
        </w:rPr>
        <w:t xml:space="preserve">knowing self</w:t>
      </w:r>
      <w:r>
        <w:t xml:space="preserve">. You cannot unknow God while remaining fully identified with the ego that wants to know. The unknowing is not a piece of information the self acquires about God; it is what happens to the self when it approaches.</w:t>
      </w:r>
    </w:p>
    <w:p>
      <w:pPr>
        <w:spacing w:after="160" w:line="320"/>
      </w:pPr>
      <w:r>
        <w:t xml:space="preserve">Pseudo-Dionysius is explicit about this, even if his readers usually focus on the divine side of the equation. The soul must, he writes, "leave behind everything perceived and understood, everything perceptible and understandable, all that is not and all that is, and with your understanding laid aside, to strive upward as much as you can toward union with him who is beyond all being and knowledge." The grammar of this sentence is crucial. The leaving-behind is the soul's own. The understanding to be laid aside is the soul's own understanding. The via negativa is something the seeker undergoes, not something the seeker performs upon God.</w:t>
      </w:r>
      <w:r>
        <w:rPr>
          <w:rStyle w:val="FootnoteReference"/>
        </w:rPr>
        <w:footnoteReference w:id="3"/>
      </w:r>
    </w:p>
    <w:p>
      <w:pPr>
        <w:spacing w:after="160" w:line="320"/>
      </w:pPr>
      <w:r>
        <w:t xml:space="preserve">Gregory of Nyssa offers, in the </w:t>
      </w:r>
      <w:r>
        <w:rPr>
          <w:i/>
          <w:iCs/>
        </w:rPr>
        <w:t xml:space="preserve">Life of Moses</w:t>
      </w:r>
      <w:r>
        <w:t xml:space="preserve">, an image I have come back to often: the soul as a mirror covered in dust. The mirror's reflectiveness is not destroyed by the dust; it is concealed by it. Purification is not the acquisition of a new capacity but the removal of what is hiding the old one. The Christian life, on this reading, is not the building up of a holy self. It is the gradual unbuilding of whatever has been obscuring the self that was made in the image.</w:t>
      </w:r>
    </w:p>
    <w:p>
      <w:pPr>
        <w:spacing w:after="160" w:line="320"/>
      </w:pPr>
      <w:r>
        <w:t xml:space="preserve">This is already the </w:t>
      </w:r>
      <w:r>
        <w:rPr>
          <w:i/>
          <w:iCs/>
        </w:rPr>
        <w:t xml:space="preserve">oudeis</w:t>
      </w:r>
      <w:r>
        <w:t xml:space="preserve"> structure. The mirror that reflects God most fully is the mirror that contributes nothing of its own.</w:t>
      </w:r>
    </w:p>
    <w:p>
      <w:pPr>
        <w:pBdr>
          <w:left w:val="single" w:color="888888" w:sz="12" w:space="12"/>
        </w:pBdr>
        <w:spacing w:after="200" w:before="200" w:line="320"/>
        <w:ind w:left="720" w:right="720"/>
      </w:pPr>
      <w:r>
        <w:rPr>
          <w:i/>
          <w:iCs/>
          <w:color w:val="555555"/>
        </w:rPr>
        <w:t xml:space="preserve">Generative question: I want to be careful here not to flatten the apophatic tradition into a single move. There's a real difference between Dionysius's hyperbolic predication, Gregory's epektasis, Eckhart's </w:t>
      </w:r>
      <w:r>
        <w:rPr>
          <w:i/>
          <w:iCs/>
          <w:color w:val="555555"/>
        </w:rPr>
        <w:t xml:space="preserve">Abgeschiedenheit</w:t>
      </w:r>
      <w:r>
        <w:rPr>
          <w:i/>
          <w:iCs/>
          <w:color w:val="555555"/>
        </w:rPr>
        <w:t xml:space="preserve">, and the </w:t>
      </w:r>
      <w:r>
        <w:rPr>
          <w:i/>
          <w:iCs/>
          <w:color w:val="555555"/>
        </w:rPr>
        <w:t xml:space="preserve">Cloud</w:t>
      </w:r>
      <w:r>
        <w:rPr>
          <w:i/>
          <w:iCs/>
          <w:color w:val="555555"/>
        </w:rPr>
        <w:t xml:space="preserve">'s "naked intent unto God." Worth deciding whether I'm going to differentiate these in a later chapter or leave them blurred for the popular reader here.</w:t>
      </w:r>
    </w:p>
    <w:p>
      <w:pPr>
        <w:pBdr>
          <w:bottom w:val="single" w:color="999999" w:sz="6" w:space="6"/>
        </w:pBdr>
        <w:spacing w:after="200" w:before="200"/>
      </w:pPr>
      <w:r>
        <w:t xml:space="preserve"/>
      </w:r>
    </w:p>
    <w:p>
      <w:pPr>
        <w:pStyle w:val="Heading2"/>
        <w:spacing w:after="160" w:before="280"/>
      </w:pPr>
      <w:r>
        <w:rPr>
          <w:rFonts w:ascii="Georgia" w:cs="Georgia" w:eastAsia="Georgia" w:hAnsi="Georgia"/>
          <w:b/>
          <w:bCs/>
          <w:sz w:val="28"/>
          <w:szCs w:val="28"/>
        </w:rPr>
        <w:t xml:space="preserve">3.3 — The Ishbitzer's Bittul as Exegetical Key</w:t>
      </w:r>
    </w:p>
    <w:p>
      <w:pPr>
        <w:spacing w:after="160" w:line="320"/>
      </w:pPr>
      <w:r>
        <w:t xml:space="preserve">If the via negativa is the Christian name for what I am pointing at, </w:t>
      </w:r>
      <w:r>
        <w:rPr>
          <w:i/>
          <w:iCs/>
        </w:rPr>
        <w:t xml:space="preserve">bittul hayesh</w:t>
      </w:r>
      <w:r>
        <w:t xml:space="preserve"> — the nullification of somethingness — is its Hasidic name. The Ishbitzer Rebbe uses it to describe a state in which the self becomes utterly transparent to divine </w:t>
      </w:r>
      <w:r>
        <w:rPr>
          <w:i/>
          <w:iCs/>
        </w:rPr>
        <w:t xml:space="preserve">ratzon</w:t>
      </w:r>
      <w:r>
        <w:t xml:space="preserve"> (will). Not annihilation of the person. Not erasure. Dissolution of the grasping, self-defining, ego-armoring structure that mistakes itself for the person.</w:t>
      </w:r>
    </w:p>
    <w:p>
      <w:pPr>
        <w:spacing w:after="160" w:line="320"/>
      </w:pPr>
      <w:r>
        <w:t xml:space="preserve">The </w:t>
      </w:r>
      <w:r>
        <w:rPr>
          <w:i/>
          <w:iCs/>
        </w:rPr>
        <w:t xml:space="preserve">Mei HaShiloach</w:t>
      </w:r>
      <w:r>
        <w:t xml:space="preserve">'s treatment of Korah, in Numbers 16, is among the most audacious passages in his work and the one I want to put to work here. The Ishbitzer takes the archetypal rebel of the Torah and reads him with genuine theological sympathy. Korah's argument — "all the congregation is holy, every one of them, and the Lord is among them" (Num. 16:3) — was, the Ishbitzer admits, theologically correct. The whole congregation </w:t>
      </w:r>
      <w:r>
        <w:rPr>
          <w:i/>
          <w:iCs/>
        </w:rPr>
        <w:t xml:space="preserve">is</w:t>
      </w:r>
      <w:r>
        <w:t xml:space="preserve"> holy. The Lord </w:t>
      </w:r>
      <w:r>
        <w:rPr>
          <w:i/>
          <w:iCs/>
        </w:rPr>
        <w:t xml:space="preserve">is</w:t>
      </w:r>
      <w:r>
        <w:t xml:space="preserve"> among them. Korah's error was not in his theology. His error was that he tried to seize, prematurely and from a contracted self, the state his theology proclaimed.</w:t>
      </w:r>
      <w:r>
        <w:rPr>
          <w:rStyle w:val="FootnoteReference"/>
        </w:rPr>
        <w:footnoteReference w:id="4"/>
      </w:r>
    </w:p>
    <w:p>
      <w:pPr>
        <w:spacing w:after="160" w:line="320"/>
      </w:pPr>
      <w:r>
        <w:t xml:space="preserve">The </w:t>
      </w:r>
      <w:r>
        <w:rPr>
          <w:i/>
          <w:iCs/>
        </w:rPr>
        <w:t xml:space="preserve">bittul</w:t>
      </w:r>
      <w:r>
        <w:t xml:space="preserve"> Korah lacked was the very state his theology described. He tried to arrive as someone. Moses, by contrast, lived from a dissolved self — the man who, when God offered to destroy Israel and start over with him, said, "blot me out of your book" (Ex. 32:32). The difference between Korah and Moses is not a difference of doctrine. They could have signed the same theological statement. The difference is the </w:t>
      </w:r>
      <w:r>
        <w:rPr>
          <w:i/>
          <w:iCs/>
        </w:rPr>
        <w:t xml:space="preserve">self that holds the theology</w:t>
      </w:r>
      <w:r>
        <w:t xml:space="preserve">.</w:t>
      </w:r>
    </w:p>
    <w:p>
      <w:pPr>
        <w:spacing w:after="160" w:line="320"/>
      </w:pPr>
      <w:r>
        <w:t xml:space="preserve">This is what I think has gone wrong in much of the history of John 14:6's misuse. The verse has been held, often confidently and even sincerely, by selves that have never undergone the transformation the verse describes. Correct exclusivist theology held by a contracted self is, on the Ishbitzer's reading, the precise structure of Korah's rebellion. The words can be right while the self that says them is wrong — not in its claims, but in its very mode of being a self that makes claims.</w:t>
      </w:r>
    </w:p>
    <w:p>
      <w:pPr>
        <w:spacing w:after="160" w:line="320"/>
      </w:pPr>
      <w:r>
        <w:t xml:space="preserve">The spiritual path, for the Ishbitzer, is not the acquisition of holiness. It is becoming transparent enough for the holiness that is already there to be visible. Job survives the Whirlwind not because he wins the argument but because, by the end, there is no one left to be the kind of self who argues. He has been reduced to </w:t>
      </w:r>
      <w:r>
        <w:rPr>
          <w:i/>
          <w:iCs/>
        </w:rPr>
        <w:t xml:space="preserve">oudeis</w:t>
      </w:r>
      <w:r>
        <w:t xml:space="preserve">. And only then can the voice from the storm be heard as something other than threat.</w:t>
      </w:r>
    </w:p>
    <w:p>
      <w:pPr>
        <w:pBdr>
          <w:left w:val="single" w:color="888888" w:sz="12" w:space="12"/>
        </w:pBdr>
        <w:spacing w:after="200" w:before="200" w:line="320"/>
        <w:ind w:left="720" w:right="720"/>
      </w:pPr>
      <w:r>
        <w:rPr>
          <w:i/>
          <w:iCs/>
          <w:color w:val="555555"/>
        </w:rPr>
        <w:t xml:space="preserve">Generative question: I'm aware this is the move that will make some Christian readers most uncomfortable — using a Hasidic rebbe as </w:t>
      </w:r>
      <w:r>
        <w:rPr>
          <w:i/>
          <w:iCs/>
          <w:color w:val="555555"/>
        </w:rPr>
        <w:t xml:space="preserve">the</w:t>
      </w:r>
      <w:r>
        <w:rPr>
          <w:i/>
          <w:iCs/>
          <w:color w:val="555555"/>
        </w:rPr>
        <w:t xml:space="preserve"> exegetical key to a Johannine verse. Do I want to defend that methodologically here, or trust the reader to follow and address it in the prologue/introduction? My instinct is to trust the reader. The whole book is the defense.</w:t>
      </w:r>
    </w:p>
    <w:p>
      <w:pPr>
        <w:pBdr>
          <w:bottom w:val="single" w:color="999999" w:sz="6" w:space="6"/>
        </w:pBdr>
        <w:spacing w:after="200" w:before="200"/>
      </w:pPr>
      <w:r>
        <w:t xml:space="preserve"/>
      </w:r>
    </w:p>
    <w:p>
      <w:pPr>
        <w:pStyle w:val="Heading2"/>
        <w:spacing w:after="160" w:before="280"/>
      </w:pPr>
      <w:r>
        <w:rPr>
          <w:rFonts w:ascii="Georgia" w:cs="Georgia" w:eastAsia="Georgia" w:hAnsi="Georgia"/>
          <w:b/>
          <w:bCs/>
          <w:sz w:val="28"/>
          <w:szCs w:val="28"/>
        </w:rPr>
        <w:t xml:space="preserve">3.4 — Abhinavagupta and Kṣemarāja: The Dissolution of the Contracted Subject</w:t>
      </w:r>
    </w:p>
    <w:p>
      <w:pPr>
        <w:spacing w:after="160" w:line="320"/>
      </w:pPr>
      <w:r>
        <w:t xml:space="preserve">Kashmir Shaivism has a word for what the Ishbitzer is describing and what Pseudo-Dionysius is performing. The word is </w:t>
      </w:r>
      <w:r>
        <w:rPr>
          <w:i/>
          <w:iCs/>
        </w:rPr>
        <w:t xml:space="preserve">pratyabhijñā</w:t>
      </w:r>
      <w:r>
        <w:t xml:space="preserve"> — Recognition. Not the acquisition of a new state. Not a journey to a place one has never been. The sudden seeing-through of what was sought as never having been absent.</w:t>
      </w:r>
    </w:p>
    <w:p>
      <w:pPr>
        <w:spacing w:after="160" w:line="320"/>
      </w:pPr>
      <w:r>
        <w:t xml:space="preserve">Kṣemarāja's </w:t>
      </w:r>
      <w:r>
        <w:rPr>
          <w:i/>
          <w:iCs/>
        </w:rPr>
        <w:t xml:space="preserve">Pratyabhijñāhṛdayam</w:t>
      </w:r>
      <w:r>
        <w:t xml:space="preserve"> opens with a sutra I keep returning to: </w:t>
      </w:r>
      <w:r>
        <w:rPr>
          <w:i/>
          <w:iCs/>
        </w:rPr>
        <w:t xml:space="preserve">Citi</w:t>
      </w:r>
      <w:r>
        <w:t xml:space="preserve"> (consciousness itself), by its own absolute freedom (</w:t>
      </w:r>
      <w:r>
        <w:rPr>
          <w:i/>
          <w:iCs/>
        </w:rPr>
        <w:t xml:space="preserve">svātantrya</w:t>
      </w:r>
      <w:r>
        <w:t xml:space="preserve">), descends from its universal aspect and becomes contracted. The contraction is not a fall imposed from outside. It is consciousness's own play. The contracted subject — the self identified with the </w:t>
      </w:r>
      <w:r>
        <w:rPr>
          <w:i/>
          <w:iCs/>
        </w:rPr>
        <w:t xml:space="preserve">malas</w:t>
      </w:r>
      <w:r>
        <w:t xml:space="preserve">, the limiting impurities — is not destroyed when Recognition occurs. It is </w:t>
      </w:r>
      <w:r>
        <w:rPr>
          <w:i/>
          <w:iCs/>
        </w:rPr>
        <w:t xml:space="preserve">revealed</w:t>
      </w:r>
      <w:r>
        <w:t xml:space="preserve"> as a superimposition on a reality that was never actually divided.</w:t>
      </w:r>
      <w:r>
        <w:rPr>
          <w:rStyle w:val="FootnoteReference"/>
        </w:rPr>
        <w:footnoteReference w:id="5"/>
      </w:r>
    </w:p>
    <w:p>
      <w:pPr>
        <w:spacing w:after="160" w:line="320"/>
      </w:pPr>
      <w:r>
        <w:t xml:space="preserve">I want to put this beside Gregory's dust-on-the-mirror. The image is structurally identical. The mirror was always reflective. The dust was never the mirror's nature. The contracted subject was always the unbounded subject in disguise. The </w:t>
      </w:r>
      <w:r>
        <w:rPr>
          <w:i/>
          <w:iCs/>
        </w:rPr>
        <w:t xml:space="preserve">malas</w:t>
      </w:r>
      <w:r>
        <w:t xml:space="preserve"> were never an addition to consciousness, only a self-concealment of consciousness within itself.</w:t>
      </w:r>
    </w:p>
    <w:p>
      <w:pPr>
        <w:spacing w:after="160" w:line="320"/>
      </w:pPr>
      <w:r>
        <w:t xml:space="preserve">This is why Recognition can never be a credential. The one who recognizes does not become someone who has Recognition. The one who recognizes becomes the </w:t>
      </w:r>
      <w:r>
        <w:rPr>
          <w:i/>
          <w:iCs/>
        </w:rPr>
        <w:t xml:space="preserve">oudeis</w:t>
      </w:r>
      <w:r>
        <w:t xml:space="preserve"> through whom what was already there is no longer obscured. The grammatical subject of </w:t>
      </w:r>
      <w:r>
        <w:rPr>
          <w:i/>
          <w:iCs/>
        </w:rPr>
        <w:t xml:space="preserve">pratyabhijñā</w:t>
      </w:r>
      <w:r>
        <w:t xml:space="preserve"> is, properly speaking, not a self at all — it is consciousness recognizing itself, in which the previously contracted "I" was always the medium and never the agent.</w:t>
      </w:r>
    </w:p>
    <w:p>
      <w:pPr>
        <w:spacing w:after="160" w:line="320"/>
      </w:pPr>
      <w:r>
        <w:t xml:space="preserve">If I read John 14:6 through this register, "no one comes to the Father except through me" begins to sound like Kṣemarāja: nothing approaches the source except as the source's own self-recognition. The "I" of the </w:t>
      </w:r>
      <w:r>
        <w:rPr>
          <w:i/>
          <w:iCs/>
        </w:rPr>
        <w:t xml:space="preserve">I am</w:t>
      </w:r>
      <w:r>
        <w:t xml:space="preserve"> is not a Galilean carpenter staking out theological turf. It is the </w:t>
      </w:r>
      <w:r>
        <w:rPr>
          <w:i/>
          <w:iCs/>
        </w:rPr>
        <w:t xml:space="preserve">I</w:t>
      </w:r>
      <w:r>
        <w:t xml:space="preserve"> in which every smaller </w:t>
      </w:r>
      <w:r>
        <w:rPr>
          <w:i/>
          <w:iCs/>
        </w:rPr>
        <w:t xml:space="preserve">I</w:t>
      </w:r>
      <w:r>
        <w:t xml:space="preserve"> is, in fact, already underway toward its dissolution.</w:t>
      </w:r>
    </w:p>
    <w:p>
      <w:pPr>
        <w:pBdr>
          <w:left w:val="single" w:color="888888" w:sz="12" w:space="12"/>
        </w:pBdr>
        <w:spacing w:after="200" w:before="200" w:line="320"/>
        <w:ind w:left="720" w:right="720"/>
      </w:pPr>
      <w:r>
        <w:rPr>
          <w:i/>
          <w:iCs/>
          <w:color w:val="555555"/>
        </w:rPr>
        <w:t xml:space="preserve">Generative question: how much technical Sanskrit do I want in the popular book vs. saving it for the dissertation version? I think the popular reader can handle </w:t>
      </w:r>
      <w:r>
        <w:rPr>
          <w:i/>
          <w:iCs/>
          <w:color w:val="555555"/>
        </w:rPr>
        <w:t xml:space="preserve">pratyabhijñā</w:t>
      </w:r>
      <w:r>
        <w:rPr>
          <w:i/>
          <w:iCs/>
          <w:color w:val="555555"/>
        </w:rPr>
        <w:t xml:space="preserve"> and </w:t>
      </w:r>
      <w:r>
        <w:rPr>
          <w:i/>
          <w:iCs/>
          <w:color w:val="555555"/>
        </w:rPr>
        <w:t xml:space="preserve">svātantrya</w:t>
      </w:r>
      <w:r>
        <w:rPr>
          <w:i/>
          <w:iCs/>
          <w:color w:val="555555"/>
        </w:rPr>
        <w:t xml:space="preserve"> if I gloss them once and use them sparingly. </w:t>
      </w:r>
      <w:r>
        <w:rPr>
          <w:i/>
          <w:iCs/>
          <w:color w:val="555555"/>
        </w:rPr>
        <w:t xml:space="preserve">Malas</w:t>
      </w:r>
      <w:r>
        <w:rPr>
          <w:i/>
          <w:iCs/>
          <w:color w:val="555555"/>
        </w:rPr>
        <w:t xml:space="preserve"> I might leave out here. Will revisit.</w:t>
      </w:r>
    </w:p>
    <w:p>
      <w:pPr>
        <w:pBdr>
          <w:bottom w:val="single" w:color="999999" w:sz="6" w:space="6"/>
        </w:pBdr>
        <w:spacing w:after="200" w:before="200"/>
      </w:pPr>
      <w:r>
        <w:t xml:space="preserve"/>
      </w:r>
    </w:p>
    <w:p>
      <w:pPr>
        <w:pStyle w:val="Heading2"/>
        <w:spacing w:after="160" w:before="280"/>
      </w:pPr>
      <w:r>
        <w:rPr>
          <w:rFonts w:ascii="Georgia" w:cs="Georgia" w:eastAsia="Georgia" w:hAnsi="Georgia"/>
          <w:b/>
          <w:bCs/>
          <w:sz w:val="28"/>
          <w:szCs w:val="28"/>
        </w:rPr>
        <w:t xml:space="preserve">3.5 — Reading 14:6 Against Itself</w:t>
      </w:r>
    </w:p>
    <w:p>
      <w:pPr>
        <w:spacing w:after="160" w:line="320"/>
      </w:pPr>
      <w:r>
        <w:t xml:space="preserve">One of the things I want this book to do is to read 14:6 against the use it has historically been put to, without pretending the use isn't there in the verse. The verse has been weaponized. It has been used, for two thousand years, as a wall. I am not going to argue that the wall was never there. I am going to argue that the wall was built on a misreading of what the verse is doing grammatically and theologically.</w:t>
      </w:r>
    </w:p>
    <w:p>
      <w:pPr>
        <w:spacing w:after="160" w:line="320"/>
      </w:pPr>
      <w:r>
        <w:t xml:space="preserve">The honest acknowledgment: there is a real exclusivity in 14:6. </w:t>
      </w:r>
      <w:r>
        <w:rPr>
          <w:i/>
          <w:iCs/>
        </w:rPr>
        <w:t xml:space="preserve">No one comes to the Father except through me</w:t>
      </w:r>
      <w:r>
        <w:t xml:space="preserve">. This is not a verse that easily yields to pluralist softening, and I am not going to try to make it yield to one. What I am going to argue is that the exclusivity is not demographic. It is </w:t>
      </w:r>
      <w:r>
        <w:rPr>
          <w:i/>
          <w:iCs/>
        </w:rPr>
        <w:t xml:space="preserve">modal</w:t>
      </w:r>
      <w:r>
        <w:t xml:space="preserve">. The verse is not telling you which religion gets you in. It is telling you what kind of self gets through.</w:t>
      </w:r>
    </w:p>
    <w:p>
      <w:pPr>
        <w:spacing w:after="160" w:line="320"/>
      </w:pPr>
      <w:r>
        <w:t xml:space="preserve">The kind of self that gets through is the self that has stopped being a self in the contracted sense. The self that arrives at the threshold has, in arriving, become </w:t>
      </w:r>
      <w:r>
        <w:rPr>
          <w:i/>
          <w:iCs/>
        </w:rPr>
        <w:t xml:space="preserve">oudeis</w:t>
      </w:r>
      <w:r>
        <w:t xml:space="preserve">. The "through me" of the verse is not the membership card of a religion. It is the name of the dissolution itself — the </w:t>
      </w:r>
      <w:r>
        <w:rPr>
          <w:i/>
          <w:iCs/>
        </w:rPr>
        <w:t xml:space="preserve">I am</w:t>
      </w:r>
      <w:r>
        <w:t xml:space="preserve"> that includes every smaller </w:t>
      </w:r>
      <w:r>
        <w:rPr>
          <w:i/>
          <w:iCs/>
        </w:rPr>
        <w:t xml:space="preserve">I am</w:t>
      </w:r>
      <w:r>
        <w:t xml:space="preserve"> by virtue of being what they were all along, underneath their grasping.</w:t>
      </w:r>
    </w:p>
    <w:p>
      <w:pPr>
        <w:spacing w:after="160" w:line="320"/>
      </w:pPr>
      <w:r>
        <w:t xml:space="preserve">This is harder than the inclusivist reading. The inclusivist reading says: don't worry, lots of paths lead to the Father, John 14:6 doesn't really mean what it says. The reading I am proposing says: John 14:6 means exactly what it says, and what it says is more demanding than any exclusivist has dared to claim. The Father is reached only by no one. Are you willing to become no one?</w:t>
      </w:r>
    </w:p>
    <w:p>
      <w:pPr>
        <w:pBdr>
          <w:left w:val="single" w:color="888888" w:sz="12" w:space="12"/>
        </w:pBdr>
        <w:spacing w:after="200" w:before="200" w:line="320"/>
        <w:ind w:left="720" w:right="720"/>
      </w:pPr>
      <w:r>
        <w:rPr>
          <w:i/>
          <w:iCs/>
          <w:color w:val="555555"/>
        </w:rPr>
        <w:t xml:space="preserve">Generative question: this section may want to be longer, or may want to be split. The honest acknowledgment of the verse's exclusivity is doing a lot of work and I want to make sure I'm not soft-pedaling it. There's also a real question I haven't engaged with yet: what about the </w:t>
      </w:r>
      <w:r>
        <w:rPr>
          <w:i/>
          <w:iCs/>
          <w:color w:val="555555"/>
        </w:rPr>
        <w:t xml:space="preserve">kai egō zōē</w:t>
      </w:r>
      <w:r>
        <w:rPr>
          <w:i/>
          <w:iCs/>
          <w:color w:val="555555"/>
        </w:rPr>
        <w:t xml:space="preserve"> — the </w:t>
      </w:r>
      <w:r>
        <w:rPr>
          <w:i/>
          <w:iCs/>
          <w:color w:val="555555"/>
        </w:rPr>
        <w:t xml:space="preserve">I am the way and the truth and the life</w:t>
      </w:r>
      <w:r>
        <w:rPr>
          <w:i/>
          <w:iCs/>
          <w:color w:val="555555"/>
        </w:rPr>
        <w:t xml:space="preserve"> — that </w:t>
      </w:r>
      <w:r>
        <w:rPr>
          <w:i/>
          <w:iCs/>
          <w:color w:val="555555"/>
        </w:rPr>
        <w:t xml:space="preserve">precedes</w:t>
      </w:r>
      <w:r>
        <w:rPr>
          <w:i/>
          <w:iCs/>
          <w:color w:val="555555"/>
        </w:rPr>
        <w:t xml:space="preserve"> the </w:t>
      </w:r>
      <w:r>
        <w:rPr>
          <w:i/>
          <w:iCs/>
          <w:color w:val="555555"/>
        </w:rPr>
        <w:t xml:space="preserve">oudeis</w:t>
      </w:r>
      <w:r>
        <w:rPr>
          <w:i/>
          <w:iCs/>
          <w:color w:val="555555"/>
        </w:rPr>
        <w:t xml:space="preserve"> clause? I have been treating 14:6 as if the </w:t>
      </w:r>
      <w:r>
        <w:rPr>
          <w:i/>
          <w:iCs/>
          <w:color w:val="555555"/>
        </w:rPr>
        <w:t xml:space="preserve">oudeis</w:t>
      </w:r>
      <w:r>
        <w:rPr>
          <w:i/>
          <w:iCs/>
          <w:color w:val="555555"/>
        </w:rPr>
        <w:t xml:space="preserve"> clause were the verse, but in fact it is the second half of a two-part saying. I think the </w:t>
      </w:r>
      <w:r>
        <w:rPr>
          <w:i/>
          <w:iCs/>
          <w:color w:val="555555"/>
        </w:rPr>
        <w:t xml:space="preserve">way / truth / life</w:t>
      </w:r>
      <w:r>
        <w:rPr>
          <w:i/>
          <w:iCs/>
          <w:color w:val="555555"/>
        </w:rPr>
        <w:t xml:space="preserve"> triad belongs in an earlier chapter or in 3.6, not here, but flag for follow-up.</w:t>
      </w:r>
    </w:p>
    <w:p>
      <w:pPr>
        <w:pBdr>
          <w:bottom w:val="single" w:color="999999" w:sz="6" w:space="6"/>
        </w:pBdr>
        <w:spacing w:after="200" w:before="200"/>
      </w:pPr>
      <w:r>
        <w:t xml:space="preserve"/>
      </w:r>
    </w:p>
    <w:p>
      <w:pPr>
        <w:pStyle w:val="Heading2"/>
        <w:spacing w:after="160" w:before="280"/>
      </w:pPr>
      <w:r>
        <w:rPr>
          <w:rFonts w:ascii="Georgia" w:cs="Georgia" w:eastAsia="Georgia" w:hAnsi="Georgia"/>
          <w:b/>
          <w:bCs/>
          <w:sz w:val="28"/>
          <w:szCs w:val="28"/>
        </w:rPr>
        <w:t xml:space="preserve">3.6 — Closing: The Chapter Ends in Darkness</w:t>
      </w:r>
    </w:p>
    <w:p>
      <w:pPr>
        <w:spacing w:after="160" w:line="320"/>
      </w:pPr>
      <w:r>
        <w:t xml:space="preserve">I do not want this chapter to resolve. I want it to end where the via negativa actually ends, which is not at a conclusion but at an edge.</w:t>
      </w:r>
    </w:p>
    <w:p>
      <w:pPr>
        <w:spacing w:after="160" w:line="320"/>
      </w:pPr>
      <w:r>
        <w:t xml:space="preserve">What I have been describing — </w:t>
      </w:r>
      <w:r>
        <w:rPr>
          <w:i/>
          <w:iCs/>
        </w:rPr>
        <w:t xml:space="preserve">oudeis</w:t>
      </w:r>
      <w:r>
        <w:t xml:space="preserve">, </w:t>
      </w:r>
      <w:r>
        <w:rPr>
          <w:i/>
          <w:iCs/>
        </w:rPr>
        <w:t xml:space="preserve">bittul</w:t>
      </w:r>
      <w:r>
        <w:t xml:space="preserve">, </w:t>
      </w:r>
      <w:r>
        <w:rPr>
          <w:i/>
          <w:iCs/>
        </w:rPr>
        <w:t xml:space="preserve">pratyabhijñā</w:t>
      </w:r>
      <w:r>
        <w:t xml:space="preserve">, the dust-on-the-mirror, the Whirlwind that dissolves Job — these are not pieces of information you can finish reading and then know. They are names for a transformation you can only undergo. The chapter has brought the reader to a threshold. It has tried to clarify what the threshold actually is. But it cannot, by its nature, walk the reader through.</w:t>
      </w:r>
    </w:p>
    <w:p>
      <w:pPr>
        <w:spacing w:after="160" w:line="320"/>
      </w:pPr>
      <w:r>
        <w:t xml:space="preserve">The Whirlwind does not lecture Job into a state. It reduces him to it. The dust does not fall from Gregory's mirror because the mirror studied harder. The Ishbitzer's transparent </w:t>
      </w:r>
      <w:r>
        <w:rPr>
          <w:i/>
          <w:iCs/>
        </w:rPr>
        <w:t xml:space="preserve">tzaddik</w:t>
      </w:r>
      <w:r>
        <w:t xml:space="preserve"> did not earn transparency; transparency happened </w:t>
      </w:r>
      <w:r>
        <w:rPr>
          <w:i/>
          <w:iCs/>
        </w:rPr>
        <w:t xml:space="preserve">to</w:t>
      </w:r>
      <w:r>
        <w:t xml:space="preserve"> a self that was finally willing for it to. Kṣemarāja's Recognition is not the conclusion of an argument. It is the moment the argument was always pointing at and could never produce.</w:t>
      </w:r>
    </w:p>
    <w:p>
      <w:pPr>
        <w:spacing w:after="160" w:line="320"/>
      </w:pPr>
      <w:r>
        <w:t xml:space="preserve">So the question this chapter ends on is not whether you are willing to </w:t>
      </w:r>
      <w:r>
        <w:rPr>
          <w:i/>
          <w:iCs/>
        </w:rPr>
        <w:t xml:space="preserve">believe</w:t>
      </w:r>
      <w:r>
        <w:t xml:space="preserve"> what I have written. The question is whether you are willing to </w:t>
      </w:r>
      <w:r>
        <w:rPr>
          <w:i/>
          <w:iCs/>
        </w:rPr>
        <w:t xml:space="preserve">become</w:t>
      </w:r>
      <w:r>
        <w:t xml:space="preserve"> it. The verse will keep saying what it has always said: </w:t>
      </w:r>
      <w:r>
        <w:rPr>
          <w:i/>
          <w:iCs/>
        </w:rPr>
        <w:t xml:space="preserve">no one comes to the Father except through me</w:t>
      </w:r>
      <w:r>
        <w:t xml:space="preserve">. The only thing that can change is who is reading.</w:t>
      </w:r>
    </w:p>
    <w:p>
      <w:pPr>
        <w:pBdr>
          <w:left w:val="single" w:color="888888" w:sz="12" w:space="12"/>
        </w:pBdr>
        <w:spacing w:after="200" w:before="200" w:line="320"/>
        <w:ind w:left="720" w:right="720"/>
      </w:pPr>
      <w:r>
        <w:rPr>
          <w:i/>
          <w:iCs/>
          <w:color w:val="555555"/>
        </w:rPr>
        <w:t xml:space="preserve">Generative question: should the closing be even harder than this — more uncomfortable, more genuinely uncertain? V1 had it ending "in genuine uncertainty — the reader has been brought to the edge of what the contracted self can understand and left there." I have softened that slightly. Worth deciding whether to restore the harder version. Also: do I want the chapter to end on a single short paragraph, almost a koan, after the longer close? Something like one line that drops the reader.</w:t>
      </w:r>
    </w:p>
    <w:p>
      <w:pPr>
        <w:pBdr>
          <w:bottom w:val="single" w:color="999999" w:sz="6" w:space="6"/>
        </w:pBdr>
        <w:spacing w:after="200" w:before="200"/>
      </w:pPr>
      <w:r>
        <w:t xml:space="preserve"/>
      </w:r>
    </w:p>
    <w:p>
      <w:pPr>
        <w:pStyle w:val="Heading2"/>
        <w:spacing w:after="160" w:before="280"/>
      </w:pPr>
      <w:r>
        <w:rPr>
          <w:rFonts w:ascii="Georgia" w:cs="Georgia" w:eastAsia="Georgia" w:hAnsi="Georgia"/>
          <w:b/>
          <w:bCs/>
          <w:sz w:val="28"/>
          <w:szCs w:val="28"/>
        </w:rPr>
        <w:t xml:space="preserve">A Note on Open Threads</w:t>
      </w:r>
    </w:p>
    <w:p>
      <w:pPr>
        <w:spacing w:after="160" w:line="320"/>
      </w:pPr>
      <w:r>
        <w:t xml:space="preserve">A few things I have left dangling on purpose, to come back to:</w:t>
      </w:r>
    </w:p>
    <w:p>
      <w:pPr>
        <w:spacing w:after="120" w:line="320"/>
        <w:ind w:left="360"/>
      </w:pPr>
      <w:r>
        <w:t xml:space="preserve">1. The relationship between </w:t>
      </w:r>
      <w:r>
        <w:rPr>
          <w:i/>
          <w:iCs/>
        </w:rPr>
        <w:t xml:space="preserve">oudeis</w:t>
      </w:r>
      <w:r>
        <w:t xml:space="preserve"> and the </w:t>
      </w:r>
      <w:r>
        <w:rPr>
          <w:i/>
          <w:iCs/>
        </w:rPr>
        <w:t xml:space="preserve">way / truth / life</w:t>
      </w:r>
      <w:r>
        <w:t xml:space="preserve"> triad that opens 14:6. I have treated them as separable; that is a working choice, not a settled judgment.</w:t>
      </w:r>
    </w:p>
    <w:p>
      <w:pPr>
        <w:spacing w:after="120" w:line="320"/>
        <w:ind w:left="360"/>
      </w:pPr>
      <w:r>
        <w:t xml:space="preserve">2. The Maximus the Confessor thread (gnomic will as the contraction that must dissolve at the threshold). V2 of my sketch mentioned this and I have only gestured at it in the Kṣemarāja footnote. Maximus may want his own subsection in a later draft, possibly between 3.3 and 3.4.</w:t>
      </w:r>
    </w:p>
    <w:p>
      <w:pPr>
        <w:spacing w:after="120" w:line="320"/>
        <w:ind w:left="360"/>
      </w:pPr>
      <w:r>
        <w:t xml:space="preserve">3. The "kenotic" reading of </w:t>
      </w:r>
      <w:r>
        <w:rPr>
          <w:i/>
          <w:iCs/>
        </w:rPr>
        <w:t xml:space="preserve">oudeis</w:t>
      </w:r>
      <w:r>
        <w:t xml:space="preserve"> — the suggestion that the </w:t>
      </w:r>
      <w:r>
        <w:rPr>
          <w:i/>
          <w:iCs/>
        </w:rPr>
        <w:t xml:space="preserve">I am</w:t>
      </w:r>
      <w:r>
        <w:t xml:space="preserve"> of the verse is itself already an </w:t>
      </w:r>
      <w:r>
        <w:rPr>
          <w:i/>
          <w:iCs/>
        </w:rPr>
        <w:t xml:space="preserve">oudeis</w:t>
      </w:r>
      <w:r>
        <w:t xml:space="preserve">-shaped </w:t>
      </w:r>
      <w:r>
        <w:rPr>
          <w:i/>
          <w:iCs/>
        </w:rPr>
        <w:t xml:space="preserve">I am</w:t>
      </w:r>
      <w:r>
        <w:t xml:space="preserve">, i.e., that the Christ who says "no one comes to the Father except through me" is himself the one in whom </w:t>
      </w:r>
      <w:r>
        <w:rPr>
          <w:i/>
          <w:iCs/>
        </w:rPr>
        <w:t xml:space="preserve">no one</w:t>
      </w:r>
      <w:r>
        <w:t xml:space="preserve"> has most fully come. This is the Christological hinge for the next chapter and I have not yet decided whether to foreshadow it here.</w:t>
      </w:r>
    </w:p>
    <w:p>
      <w:pPr>
        <w:spacing w:after="200" w:line="320"/>
        <w:ind w:left="360"/>
      </w:pPr>
      <w:r>
        <w:t xml:space="preserve">4. The 𝔓⁶⁶ syntactic claim I had in V2 — that the Greek of 𝔓⁶⁶ yields "Nothing approaches towards the Father except via Me" — I have dropped. I could not confirm a distinctive 𝔓⁶⁶ syntax at 14:6 that licenses that translation; the standard reading is the standard reading, and 𝔓⁶⁶ is here textually unremarkable apart from the </w:t>
      </w:r>
      <w:r>
        <w:rPr>
          <w:i/>
          <w:iCs/>
        </w:rPr>
        <w:t xml:space="preserve">nomen sacrum</w:t>
      </w:r>
      <w:r>
        <w:t xml:space="preserve"> practice. The theological point survives the loss; the manuscript flourish does not.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80"/>
      </w:pPr>
      <w:r>
        <w:rPr>
          <w:rStyle w:val="FootnoteReference"/>
        </w:rPr>
        <w:footnoteRef/>
      </w:r>
      <w:r>
        <w:t xml:space="preserve">It is worth flagging here that the wider context of John 14:6 includes the </w:t>
      </w:r>
      <w:r>
        <w:rPr>
          <w:i/>
          <w:iCs/>
        </w:rPr>
        <w:t xml:space="preserve">way / truth / life</w:t>
      </w:r>
      <w:r>
        <w:t xml:space="preserve"> triad, which I treat in a separate chapter. My focus throughout this chapter is on the second clause — the </w:t>
      </w:r>
      <w:r>
        <w:rPr>
          <w:i/>
          <w:iCs/>
        </w:rPr>
        <w:t xml:space="preserve">oudeis</w:t>
      </w:r>
      <w:r>
        <w:t xml:space="preserve"> clause — because it is where the verse's reception history has done the most damage and because its grammar most directly demands the reading I am proposing. The </w:t>
      </w:r>
      <w:r>
        <w:rPr>
          <w:i/>
          <w:iCs/>
        </w:rPr>
        <w:t xml:space="preserve">way / truth / life</w:t>
      </w:r>
      <w:r>
        <w:t xml:space="preserve"> triad deserves its own treatment and gets one.</w:t>
      </w:r>
    </w:p>
  </w:footnote>
  <w:footnote w:id="2">
    <w:p>
      <w:pPr>
        <w:spacing w:line="280"/>
      </w:pPr>
      <w:r>
        <w:rPr>
          <w:rStyle w:val="FootnoteReference"/>
        </w:rPr>
        <w:footnoteRef/>
      </w:r>
      <w:r>
        <w:t xml:space="preserve">On the </w:t>
      </w:r>
      <w:r>
        <w:rPr>
          <w:i/>
          <w:iCs/>
        </w:rPr>
        <w:t xml:space="preserve">nomina sacra</w:t>
      </w:r>
      <w:r>
        <w:t xml:space="preserve"> generally, see Bruce Metzger, </w:t>
      </w:r>
      <w:r>
        <w:rPr>
          <w:i/>
          <w:iCs/>
        </w:rPr>
        <w:t xml:space="preserve">Manuscripts of the Greek Bible</w:t>
      </w:r>
      <w:r>
        <w:t xml:space="preserve">, 36–37; for the development of the practice and the specific contractions of </w:t>
      </w:r>
      <w:r>
        <w:rPr>
          <w:i/>
          <w:iCs/>
        </w:rPr>
        <w:t xml:space="preserve">Patēr</w:t>
      </w:r>
      <w:r>
        <w:t xml:space="preserve"> (Father) alongside </w:t>
      </w:r>
      <w:r>
        <w:rPr>
          <w:i/>
          <w:iCs/>
        </w:rPr>
        <w:t xml:space="preserve">Theos</w:t>
      </w:r>
      <w:r>
        <w:t xml:space="preserve">, </w:t>
      </w:r>
      <w:r>
        <w:rPr>
          <w:i/>
          <w:iCs/>
        </w:rPr>
        <w:t xml:space="preserve">Kyrios</w:t>
      </w:r>
      <w:r>
        <w:t xml:space="preserve">, </w:t>
      </w:r>
      <w:r>
        <w:rPr>
          <w:i/>
          <w:iCs/>
        </w:rPr>
        <w:t xml:space="preserve">Iēsous</w:t>
      </w:r>
      <w:r>
        <w:t xml:space="preserve">, and </w:t>
      </w:r>
      <w:r>
        <w:rPr>
          <w:i/>
          <w:iCs/>
        </w:rPr>
        <w:t xml:space="preserve">Christos</w:t>
      </w:r>
      <w:r>
        <w:t xml:space="preserve">, see also Larry Hurtado, </w:t>
      </w:r>
      <w:r>
        <w:rPr>
          <w:i/>
          <w:iCs/>
        </w:rPr>
        <w:t xml:space="preserve">The Earliest Christian Artifacts: Manuscripts and Christian Origins</w:t>
      </w:r>
      <w:r>
        <w:t xml:space="preserve"> (Eerdmans, 2006). </w:t>
      </w:r>
      <w:r>
        <w:rPr>
          <w:i/>
          <w:iCs/>
        </w:rPr>
        <w:t xml:space="preserve">Patēr</w:t>
      </w:r>
      <w:r>
        <w:t xml:space="preserve"> is one of the standard </w:t>
      </w:r>
      <w:r>
        <w:rPr>
          <w:i/>
          <w:iCs/>
        </w:rPr>
        <w:t xml:space="preserve">nomina sacra</w:t>
      </w:r>
      <w:r>
        <w:t xml:space="preserve"> attested in 𝔓⁶⁶ and the broader early manuscript tradition.</w:t>
      </w:r>
    </w:p>
  </w:footnote>
  <w:footnote w:id="3">
    <w:p>
      <w:pPr>
        <w:spacing w:line="280"/>
      </w:pPr>
      <w:r>
        <w:rPr>
          <w:rStyle w:val="FootnoteReference"/>
        </w:rPr>
        <w:footnoteRef/>
      </w:r>
      <w:r>
        <w:t xml:space="preserve">Pseudo-Dionysius the Areopagite, </w:t>
      </w:r>
      <w:r>
        <w:rPr>
          <w:i/>
          <w:iCs/>
        </w:rPr>
        <w:t xml:space="preserve">Mystical Theology</w:t>
      </w:r>
      <w:r>
        <w:t xml:space="preserve"> 1.1 (PG 3:997–1000), trans. Colm Luibheid, in </w:t>
      </w:r>
      <w:r>
        <w:rPr>
          <w:i/>
          <w:iCs/>
        </w:rPr>
        <w:t xml:space="preserve">Pseudo-Dionysius: The Complete Works</w:t>
      </w:r>
      <w:r>
        <w:t xml:space="preserve"> (Paulist Press, 1987), 135. The apophatic tradition in Christian mysticism has its most rigorous expression in Dionysius, but its roots reach back to Gregory of Nyssa's </w:t>
      </w:r>
      <w:r>
        <w:rPr>
          <w:i/>
          <w:iCs/>
        </w:rPr>
        <w:t xml:space="preserve">Life of Moses</w:t>
      </w:r>
      <w:r>
        <w:t xml:space="preserve"> 2.162–163 and forward to Meister Eckhart's sermons on </w:t>
      </w:r>
      <w:r>
        <w:rPr>
          <w:i/>
          <w:iCs/>
        </w:rPr>
        <w:t xml:space="preserve">Abgeschiedenheit</w:t>
      </w:r>
      <w:r>
        <w:t xml:space="preserve"> (detachment). The via negativa is not a philosophical skepticism about God's existence; it is a spiritual discipline of the self that approaches God.</w:t>
      </w:r>
    </w:p>
  </w:footnote>
  <w:footnote w:id="4">
    <w:p>
      <w:pPr>
        <w:spacing w:line="280"/>
      </w:pPr>
      <w:r>
        <w:rPr>
          <w:rStyle w:val="FootnoteReference"/>
        </w:rPr>
        <w:footnoteRef/>
      </w:r>
      <w:r>
        <w:rPr>
          <w:i/>
          <w:iCs/>
        </w:rPr>
        <w:t xml:space="preserve">Mei HaShiloach</w:t>
      </w:r>
      <w:r>
        <w:t xml:space="preserve"> on </w:t>
      </w:r>
      <w:r>
        <w:rPr>
          <w:i/>
          <w:iCs/>
        </w:rPr>
        <w:t xml:space="preserve">Parashat Korah</w:t>
      </w:r>
      <w:r>
        <w:t xml:space="preserve">. This is among the most audacious passages in the Ishbitzer's work — treating the archetypal rebel of the Torah with genuine theological sympathy while diagnosing his failure with precision. The distinction between correct theology held by a contracted self (Korah) and correct theology lived from a dissolved self (Moses) is directly applicable to the history of John 14:6's misuse: correct exclusivist theology held by a self that has never undergone the transformation the text describes.</w:t>
      </w:r>
    </w:p>
  </w:footnote>
  <w:footnote w:id="5">
    <w:p>
      <w:pPr>
        <w:spacing w:line="280"/>
      </w:pPr>
      <w:r>
        <w:rPr>
          <w:rStyle w:val="FootnoteReference"/>
        </w:rPr>
        <w:footnoteRef/>
      </w:r>
      <w:r>
        <w:t xml:space="preserve">Kṣemarāja, </w:t>
      </w:r>
      <w:r>
        <w:rPr>
          <w:i/>
          <w:iCs/>
        </w:rPr>
        <w:t xml:space="preserve">Pratyabhijñāhṛdayam</w:t>
      </w:r>
      <w:r>
        <w:t xml:space="preserve">, sutra 1: </w:t>
      </w:r>
      <w:r>
        <w:rPr>
          <w:i/>
          <w:iCs/>
        </w:rPr>
        <w:t xml:space="preserve">citiḥ svatantrā viśvasiddhihetuḥ</w:t>
      </w:r>
      <w:r>
        <w:t xml:space="preserve"> ("Consciousness, free and independent, is the cause of the manifestation of the universe"). My paraphrase in the body of the text foregrounds the </w:t>
      </w:r>
      <w:r>
        <w:rPr>
          <w:i/>
          <w:iCs/>
        </w:rPr>
        <w:t xml:space="preserve">contraction</w:t>
      </w:r>
      <w:r>
        <w:t xml:space="preserve"> theme that becomes explicit a few sutras later (especially sutra 4 on the contracted subject as the limited </w:t>
      </w:r>
      <w:r>
        <w:rPr>
          <w:i/>
          <w:iCs/>
        </w:rPr>
        <w:t xml:space="preserve">cit</w:t>
      </w:r>
      <w:r>
        <w:t xml:space="preserve">). I cite Jaideva Singh's translation, </w:t>
      </w:r>
      <w:r>
        <w:rPr>
          <w:i/>
          <w:iCs/>
        </w:rPr>
        <w:t xml:space="preserve">Pratyabhijñāhṛdayam: The Secret of Self-Recognition</w:t>
      </w:r>
      <w:r>
        <w:t xml:space="preserve"> (Motilal Banarsidass), and Christopher Wallis's more recent rendering. The point that the contracted subject is consciousness's own self-concealment, not a separate ontological reality, is structurally parallel to Gregory's anthropology of the garments of skin and to Maximus the Confessor's account of the gnomic will as a contraction of the natural will.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20"/>
        <w:szCs w:val="20"/>
      </w:rPr>
      <w:t xml:space="preserve">The Gospel of Recognition  |  Chapter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Georgia" w:cs="Georgia" w:eastAsia="Georgia" w:hAnsi="Georgia"/>
      <w:b/>
      <w:bCs/>
      <w:sz w:val="36"/>
      <w:szCs w:val="36"/>
    </w:rPr>
  </w:style>
  <w:style w:type="paragraph" w:styleId="Heading2">
    <w:name w:val="Heading 2"/>
    <w:basedOn w:val="Normal"/>
    <w:next w:val="Normal"/>
    <w:qFormat/>
    <w:pPr>
      <w:spacing w:after="160" w:before="28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No One</dc:title>
  <dc:creator>Stephen</dc:creator>
  <dc:description>Gospel of Recognition, Chapter 3 rough draft</dc:description>
  <cp:lastModifiedBy>Un-named</cp:lastModifiedBy>
  <cp:revision>1</cp:revision>
  <dcterms:created xsi:type="dcterms:W3CDTF">2026-05-20T20:22:34.454Z</dcterms:created>
  <dcterms:modified xsi:type="dcterms:W3CDTF">2026-05-20T20:22:34.471Z</dcterms:modified>
</cp:coreProperties>
</file>

<file path=docProps/custom.xml><?xml version="1.0" encoding="utf-8"?>
<Properties xmlns="http://schemas.openxmlformats.org/officeDocument/2006/custom-properties" xmlns:vt="http://schemas.openxmlformats.org/officeDocument/2006/docPropsVTypes"/>
</file>