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8893F5" w14:textId="77777777" w:rsidR="008E1F92" w:rsidRDefault="00653642">
      <w:bookmarkStart w:id="0" w:name="_GoBack"/>
      <w:r>
        <w:t xml:space="preserve">My go to answer for the definition of religion is that of William James in his </w:t>
      </w:r>
      <w:r w:rsidRPr="00653642">
        <w:rPr>
          <w:i/>
        </w:rPr>
        <w:t>Varieties of Religious Experience</w:t>
      </w:r>
      <w:r>
        <w:rPr>
          <w:i/>
        </w:rPr>
        <w:t xml:space="preserve">, </w:t>
      </w:r>
      <w:r>
        <w:t>namely, “</w:t>
      </w:r>
      <w:r w:rsidRPr="00653642">
        <w:t>acts, and experiences of individual men in their solitude, so far as they apprehend themselves to stand in relation to whatever they may consider the divine</w:t>
      </w:r>
      <w:r>
        <w:t>.”  It is important to note, however, that even James calls this definition (and possibly all definitions of religion) arbitrary</w:t>
      </w:r>
      <w:r w:rsidR="008F74EA">
        <w:t xml:space="preserve"> and perhaps overly broad.  I am inclined to agree with him on the first point but not the latter.  I think if anything we should expand the category by replacing the word divine with the word supernatural.  In doing so we encompass belief systems</w:t>
      </w:r>
      <w:r w:rsidR="0057400C">
        <w:t xml:space="preserve"> in which the word divine may be problematic due to the fact that they</w:t>
      </w:r>
      <w:r w:rsidR="008F74EA">
        <w:t xml:space="preserve"> are not theistically focused</w:t>
      </w:r>
      <w:r w:rsidR="0057400C">
        <w:t xml:space="preserve"> yet nonetheless “religious” in all remaining aspects.</w:t>
      </w:r>
    </w:p>
    <w:p w14:paraId="49A0E2CA" w14:textId="77777777" w:rsidR="00AF56E0" w:rsidRPr="00653642" w:rsidRDefault="0057400C">
      <w:r>
        <w:t xml:space="preserve">Granted this expansion on James’s definition seems to overly generalize what we mean by the word religion but I believe it to be vanity on the part of adherents of </w:t>
      </w:r>
      <w:r>
        <w:t>theistic</w:t>
      </w:r>
      <w:r>
        <w:t xml:space="preserve"> traditions to deny that nontheistic systems can also be sacred and therefore ontologically religious.  As James points out we must distinguish existential judgments from value judg</w:t>
      </w:r>
      <w:r w:rsidR="00AF56E0">
        <w:t>ments when we approach religion academically.  Take as an example Haitian Voodoo. Here the existence of a demiurge may be taken as implicit</w:t>
      </w:r>
      <w:r w:rsidR="00890880">
        <w:t xml:space="preserve"> but this is inconsequential.  What is important are the actions and temperaments of the </w:t>
      </w:r>
      <w:proofErr w:type="spellStart"/>
      <w:r w:rsidR="00890880" w:rsidRPr="00890880">
        <w:rPr>
          <w:i/>
        </w:rPr>
        <w:t>loa</w:t>
      </w:r>
      <w:proofErr w:type="spellEnd"/>
      <w:r w:rsidR="00890880">
        <w:t>, spirits that are not considered divinities and are therefore more placated than worshipped.  Surely we would not deny that this complex system of ritual and lifestyle classifies as religion.</w:t>
      </w:r>
      <w:bookmarkEnd w:id="0"/>
    </w:p>
    <w:sectPr w:rsidR="00AF56E0" w:rsidRPr="006536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642"/>
    <w:rsid w:val="0057400C"/>
    <w:rsid w:val="00653642"/>
    <w:rsid w:val="00890880"/>
    <w:rsid w:val="008E1F92"/>
    <w:rsid w:val="008F74EA"/>
    <w:rsid w:val="00AF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4A628"/>
  <w15:chartTrackingRefBased/>
  <w15:docId w15:val="{01D316A0-66A3-4F9B-81F1-BB668C088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Williamson</dc:creator>
  <cp:keywords/>
  <dc:description/>
  <cp:lastModifiedBy>Stephen Williamson</cp:lastModifiedBy>
  <cp:revision>1</cp:revision>
  <dcterms:created xsi:type="dcterms:W3CDTF">2013-08-23T16:35:00Z</dcterms:created>
  <dcterms:modified xsi:type="dcterms:W3CDTF">2013-08-23T17:26:00Z</dcterms:modified>
</cp:coreProperties>
</file>