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7789" w14:textId="77777777" w:rsidR="005F265C" w:rsidRDefault="005F265C" w:rsidP="005F265C">
      <w:r>
        <w:t>### Introduction: The Velvet Rope and the Velvet Noose</w:t>
      </w:r>
    </w:p>
    <w:p w14:paraId="3EE0981D" w14:textId="77777777" w:rsidR="005F265C" w:rsidRDefault="005F265C" w:rsidP="005F265C">
      <w:r>
        <w:t>For millennia, orthodox Western theology has weaponized what has become the most lethal sentence in the history of religion: “No one comes to the Father except through me.”</w:t>
      </w:r>
    </w:p>
    <w:p w14:paraId="4938661A" w14:textId="77777777" w:rsidR="005F265C" w:rsidRDefault="005F265C" w:rsidP="005F265C">
      <w:r>
        <w:t>Read through the mechanistic, transactional lens of an institutionalized church, the verse becomes a grotesque absurdity. It retroactively damns the patriarchs, erasing everyone who lived before the first century, and geographically excommunicates billions of souls born outside the blast radius of Christian evangelism.</w:t>
      </w:r>
    </w:p>
    <w:p w14:paraId="13B1DDEC" w14:textId="77777777" w:rsidR="005F265C" w:rsidRDefault="005F265C" w:rsidP="005F265C">
      <w:r>
        <w:t>Even as a child, sitting in church pews, I felt a visceral, almost sickening recoil against this reading. My young mind could not reconcile a God of infinite love with a mathematical and geographical cruelty. That childhood recoil was not a lack of faith; it was a rightful, intuitive rejection of a broken system. I knew, even then, that the infinite, unconditioned grace of the Divine could not possibly be bound by the accidents of geography, chronology, and doctrinal precision.</w:t>
      </w:r>
    </w:p>
    <w:p w14:paraId="299B5E7C" w14:textId="77777777" w:rsidR="005F265C" w:rsidRDefault="005F265C" w:rsidP="005F265C">
      <w:r>
        <w:t>In its mildest, most sanitized form, this exclusionary theology reduces the Cosmic Christ to a cosmic bouncer. The church becomes a VIP club, and John 14:6 is the velvet rope, unhooked only for those who say the correct sinner’s prayer or assent to the proper creedal formulas.</w:t>
      </w:r>
    </w:p>
    <w:p w14:paraId="488473EB" w14:textId="77777777" w:rsidR="005F265C" w:rsidRDefault="005F265C" w:rsidP="005F265C">
      <w:r>
        <w:t>But history shows us that velvet ropes inevitably harden. When the infinite, uncreated Word is shrunk down to serve as a tribal boundary marker, that velvet rope seamlessly weaves itself into a velvet noose. “No one comes to the Father except through me” became the theological justification for structural violence. It was the rallying cry of the Crusades, the oxygen of the Inquisition, and the baptismal water poured over the colonizer’s sword. By forcing a dualistic, “us-versus-them” framework onto the text, empires transformed the Savior into an inquisitor, executing those who failed to pass through their highly monopolized tollbooth of salvation.</w:t>
      </w:r>
    </w:p>
    <w:p w14:paraId="1C5FD30B" w14:textId="77777777" w:rsidR="005F265C" w:rsidRDefault="005F265C" w:rsidP="005F265C">
      <w:r>
        <w:t>This history is a catastrophic metaphysical betrayal. What if this verse was never meant to be a border checkpoint? What if the distinction between a wall and a threshold is the difference between death and life? A wall is a fixed, unchangeable division in the substance of reality, creating an irreconcilable binary between Self and Other. A threshold is a boundary of perception that shifts and opens as you approach it—a dynamic invitation into deeper experience.</w:t>
      </w:r>
    </w:p>
    <w:p w14:paraId="23300A37" w14:textId="77777777" w:rsidR="005F265C" w:rsidRDefault="005F265C" w:rsidP="005F265C">
      <w:r>
        <w:t>The church’s reading of 14:6 as a wall rather than a threshold is the hermeneutical catastrophe this commentary addresses.</w:t>
      </w:r>
    </w:p>
    <w:p w14:paraId="0504A2D2" w14:textId="77777777" w:rsidR="005F265C" w:rsidRDefault="005F265C" w:rsidP="005F265C">
      <w:r>
        <w:t>#### Recovering a Lost Vocabulary</w:t>
      </w:r>
    </w:p>
    <w:p w14:paraId="1DE706AB" w14:textId="77777777" w:rsidR="005F265C" w:rsidRDefault="005F265C" w:rsidP="005F265C">
      <w:r>
        <w:lastRenderedPageBreak/>
        <w:t>To rescue John 14:6 from the Inquisition and return it to its original, mystical dimensions, we must recover a vocabulary that Western institutional theology has buried. We cannot dismantle the master’s house using only the master’s tools.</w:t>
      </w:r>
    </w:p>
    <w:p w14:paraId="42F78053" w14:textId="77777777" w:rsidR="005F265C" w:rsidRDefault="005F265C" w:rsidP="005F265C">
      <w:r>
        <w:t xml:space="preserve">This commentary reads the Gospel of John through several converging lenses. We will draw upon the non-dual recognition theology of Kashmir Shaivism—specifically the genius of the 10th-century mystic </w:t>
      </w:r>
      <w:proofErr w:type="spellStart"/>
      <w:r>
        <w:t>Abhinavagupta</w:t>
      </w:r>
      <w:proofErr w:type="spellEnd"/>
      <w:r>
        <w:t xml:space="preserve">—which gives us a breathtaking grammar for how the human mind “recognizes” its own divinity. We will look to the radical Hasidic thought of the </w:t>
      </w:r>
      <w:proofErr w:type="spellStart"/>
      <w:r>
        <w:t>Ishbitzer</w:t>
      </w:r>
      <w:proofErr w:type="spellEnd"/>
      <w:r>
        <w:t xml:space="preserve"> </w:t>
      </w:r>
      <w:proofErr w:type="spellStart"/>
      <w:r>
        <w:t>Rebbe</w:t>
      </w:r>
      <w:proofErr w:type="spellEnd"/>
      <w:r>
        <w:t>, who understood that even the rigid structures of biblical Law are ultimately garments covering an absolute, undivided divine reality. We will anchor ourselves in the earliest, most expansive Christian mystics—Gregory of Nyssa and Maximus the Confessor—who saw Christ not as a tribal mascot, but as the macrocosmic blueprint of all reality.</w:t>
      </w:r>
    </w:p>
    <w:p w14:paraId="2C02BE74" w14:textId="77777777" w:rsidR="005F265C" w:rsidRDefault="005F265C" w:rsidP="005F265C">
      <w:r>
        <w:t xml:space="preserve">These voices are not imported to dilute the Gospel. They are summoned because they noticed what John was doing before Western theology forgot how to see it. When the </w:t>
      </w:r>
      <w:proofErr w:type="spellStart"/>
      <w:r>
        <w:t>Ishbitzer</w:t>
      </w:r>
      <w:proofErr w:type="spellEnd"/>
      <w:r>
        <w:t xml:space="preserve"> reads a passage of Torah, or </w:t>
      </w:r>
      <w:proofErr w:type="spellStart"/>
      <w:r>
        <w:t>Abhinavagupta</w:t>
      </w:r>
      <w:proofErr w:type="spellEnd"/>
      <w:r>
        <w:t xml:space="preserve"> diagrams the movement of consciousness toward self-recognition, they are doing what the best commentators always do: holding the lamp closer to the text.</w:t>
      </w:r>
    </w:p>
    <w:p w14:paraId="00513ADE" w14:textId="77777777" w:rsidR="005F265C" w:rsidRDefault="005F265C" w:rsidP="005F265C">
      <w:r>
        <w:t>This commentary invites them to hold it closer to John.</w:t>
      </w:r>
    </w:p>
    <w:p w14:paraId="474BF824" w14:textId="77777777" w:rsidR="005F265C" w:rsidRDefault="005F265C" w:rsidP="005F265C">
      <w:r>
        <w:t>#### Reading the Fractal: The Holographic Word</w:t>
      </w:r>
    </w:p>
    <w:p w14:paraId="487B5E56" w14:textId="77777777" w:rsidR="005F265C" w:rsidRDefault="005F265C" w:rsidP="005F265C">
      <w:r>
        <w:t>One word of honesty regarding the architecture of this project before we begin. The modern reader is trained to approach a book sequentially, assuming the text builds its meaning chronologically like walking down a road. But John’s Gospel is not a systematic theology; it is a spiritual gospel.</w:t>
      </w:r>
    </w:p>
    <w:p w14:paraId="3FDEE8A0" w14:textId="77777777" w:rsidR="005F265C" w:rsidRDefault="005F265C" w:rsidP="005F265C">
      <w:r>
        <w:t>To read this text accurately, we must adopt a different set of optics. In the Lurianic Kabbalah, there is a concept known as *</w:t>
      </w:r>
      <w:proofErr w:type="spellStart"/>
      <w:r>
        <w:t>Hitkalelut</w:t>
      </w:r>
      <w:proofErr w:type="spellEnd"/>
      <w:r>
        <w:t>* (</w:t>
      </w:r>
      <w:proofErr w:type="spellStart"/>
      <w:r>
        <w:rPr>
          <w:rFonts w:ascii="Arial" w:hAnsi="Arial" w:cs="Arial"/>
        </w:rPr>
        <w:t>הִתְכ</w:t>
      </w:r>
      <w:proofErr w:type="spellEnd"/>
      <w:r>
        <w:rPr>
          <w:rFonts w:ascii="Arial" w:hAnsi="Arial" w:cs="Arial"/>
        </w:rPr>
        <w:t>ַּלְּ</w:t>
      </w:r>
      <w:proofErr w:type="spellStart"/>
      <w:r>
        <w:rPr>
          <w:rFonts w:ascii="Arial" w:hAnsi="Arial" w:cs="Arial"/>
        </w:rPr>
        <w:t>לוּת</w:t>
      </w:r>
      <w:proofErr w:type="spellEnd"/>
      <w:r>
        <w:t>)—"inter-inclusion." Because the Divine is absolutely One (*</w:t>
      </w:r>
      <w:proofErr w:type="spellStart"/>
      <w:r>
        <w:t>Echad</w:t>
      </w:r>
      <w:proofErr w:type="spellEnd"/>
      <w:r>
        <w:t xml:space="preserve">* / </w:t>
      </w:r>
      <w:proofErr w:type="spellStart"/>
      <w:r>
        <w:rPr>
          <w:rFonts w:ascii="Arial" w:hAnsi="Arial" w:cs="Arial"/>
        </w:rPr>
        <w:t>אֶחָד</w:t>
      </w:r>
      <w:proofErr w:type="spellEnd"/>
      <w:r>
        <w:t>), every single attribute of God contains a holographic representation of all the others. Similarly, in the linguistic philosophy of ancient India, the concept of *</w:t>
      </w:r>
      <w:proofErr w:type="spellStart"/>
      <w:r>
        <w:t>Spho</w:t>
      </w:r>
      <w:r>
        <w:rPr>
          <w:rFonts w:ascii="Calibri" w:hAnsi="Calibri" w:cs="Calibri"/>
        </w:rPr>
        <w:t>ṭ</w:t>
      </w:r>
      <w:r>
        <w:t>a</w:t>
      </w:r>
      <w:proofErr w:type="spellEnd"/>
      <w:r>
        <w:t>* (</w:t>
      </w:r>
      <w:proofErr w:type="spellStart"/>
      <w:r>
        <w:rPr>
          <w:rFonts w:ascii="Mangal" w:hAnsi="Mangal" w:cs="Mangal"/>
        </w:rPr>
        <w:t>स्फोट</w:t>
      </w:r>
      <w:proofErr w:type="spellEnd"/>
      <w:r>
        <w:t>) teaches that the total meaning of an utterance does not build word-by-word, but is entirely present from the first syllable, simply bursting forth into manifestation.</w:t>
      </w:r>
    </w:p>
    <w:p w14:paraId="658F24BB" w14:textId="77777777" w:rsidR="005F265C" w:rsidRDefault="005F265C" w:rsidP="005F265C">
      <w:r>
        <w:t xml:space="preserve">We will read John 14:6 through this fractal lens. This verse is not merely a segment of the Gospel; it is the entire Gospel </w:t>
      </w:r>
      <w:proofErr w:type="spellStart"/>
      <w:r>
        <w:t>holographically</w:t>
      </w:r>
      <w:proofErr w:type="spellEnd"/>
      <w:r>
        <w:t xml:space="preserve"> compressed into a single utterance. Therefore, this commentary is asymmetrical. We are not treating every chapter with equal, mathematical spacing. Instead, we are treating this single verse as the central pillar of the </w:t>
      </w:r>
      <w:r>
        <w:lastRenderedPageBreak/>
        <w:t>text. Everything argued here is, in one sense, an argument about how to read the whole Gospel.</w:t>
      </w:r>
    </w:p>
    <w:p w14:paraId="3F80F546" w14:textId="77777777" w:rsidR="005F265C" w:rsidRDefault="005F265C" w:rsidP="005F265C">
      <w:r>
        <w:t>The Sanskrit, Hebrew, and Greek terms that appear throughout are not decorative. They are precision instruments for experiences that ordinary English does not name well. The footnotes carry the scholarly scaffolding; the body text carries only what the argument requires. Where the argument opens onto a room the current volume cannot enter—plunging into the deepest comparative metaphysics—a footnote will mark the door and direct the reader to the Excursuses at the back of the book. Readers who want to follow the academic trail will find it waiting below the line; readers who want to follow the fire may read above it without losing the argument.</w:t>
      </w:r>
    </w:p>
    <w:p w14:paraId="484CF286" w14:textId="561EEA9B" w:rsidR="005F265C" w:rsidRDefault="005F265C" w:rsidP="005F265C">
      <w:r>
        <w:t>What follows is a reading, not a verdict.</w:t>
      </w:r>
    </w:p>
    <w:sectPr w:rsidR="005F2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5C"/>
    <w:rsid w:val="00146003"/>
    <w:rsid w:val="005F265C"/>
    <w:rsid w:val="00E53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B7D60"/>
  <w15:chartTrackingRefBased/>
  <w15:docId w15:val="{8F43EA73-FA2A-0441-8804-B5C232A7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65C"/>
    <w:rPr>
      <w:rFonts w:eastAsiaTheme="majorEastAsia" w:cstheme="majorBidi"/>
      <w:color w:val="272727" w:themeColor="text1" w:themeTint="D8"/>
    </w:rPr>
  </w:style>
  <w:style w:type="paragraph" w:styleId="Title">
    <w:name w:val="Title"/>
    <w:basedOn w:val="Normal"/>
    <w:next w:val="Normal"/>
    <w:link w:val="TitleChar"/>
    <w:uiPriority w:val="10"/>
    <w:qFormat/>
    <w:rsid w:val="005F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65C"/>
    <w:pPr>
      <w:spacing w:before="160"/>
      <w:jc w:val="center"/>
    </w:pPr>
    <w:rPr>
      <w:i/>
      <w:iCs/>
      <w:color w:val="404040" w:themeColor="text1" w:themeTint="BF"/>
    </w:rPr>
  </w:style>
  <w:style w:type="character" w:customStyle="1" w:styleId="QuoteChar">
    <w:name w:val="Quote Char"/>
    <w:basedOn w:val="DefaultParagraphFont"/>
    <w:link w:val="Quote"/>
    <w:uiPriority w:val="29"/>
    <w:rsid w:val="005F265C"/>
    <w:rPr>
      <w:i/>
      <w:iCs/>
      <w:color w:val="404040" w:themeColor="text1" w:themeTint="BF"/>
    </w:rPr>
  </w:style>
  <w:style w:type="paragraph" w:styleId="ListParagraph">
    <w:name w:val="List Paragraph"/>
    <w:basedOn w:val="Normal"/>
    <w:uiPriority w:val="34"/>
    <w:qFormat/>
    <w:rsid w:val="005F265C"/>
    <w:pPr>
      <w:ind w:left="720"/>
      <w:contextualSpacing/>
    </w:pPr>
  </w:style>
  <w:style w:type="character" w:styleId="IntenseEmphasis">
    <w:name w:val="Intense Emphasis"/>
    <w:basedOn w:val="DefaultParagraphFont"/>
    <w:uiPriority w:val="21"/>
    <w:qFormat/>
    <w:rsid w:val="005F265C"/>
    <w:rPr>
      <w:i/>
      <w:iCs/>
      <w:color w:val="0F4761" w:themeColor="accent1" w:themeShade="BF"/>
    </w:rPr>
  </w:style>
  <w:style w:type="paragraph" w:styleId="IntenseQuote">
    <w:name w:val="Intense Quote"/>
    <w:basedOn w:val="Normal"/>
    <w:next w:val="Normal"/>
    <w:link w:val="IntenseQuoteChar"/>
    <w:uiPriority w:val="30"/>
    <w:qFormat/>
    <w:rsid w:val="005F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65C"/>
    <w:rPr>
      <w:i/>
      <w:iCs/>
      <w:color w:val="0F4761" w:themeColor="accent1" w:themeShade="BF"/>
    </w:rPr>
  </w:style>
  <w:style w:type="character" w:styleId="IntenseReference">
    <w:name w:val="Intense Reference"/>
    <w:basedOn w:val="DefaultParagraphFont"/>
    <w:uiPriority w:val="32"/>
    <w:qFormat/>
    <w:rsid w:val="005F2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4</cp:revision>
  <dcterms:created xsi:type="dcterms:W3CDTF">2026-05-20T18:51:00Z</dcterms:created>
  <dcterms:modified xsi:type="dcterms:W3CDTF">2026-05-20T18:52:00Z</dcterms:modified>
</cp:coreProperties>
</file>