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38D1E" w14:textId="261111F1" w:rsidR="007F6443" w:rsidRDefault="00351616" w:rsidP="00351616">
      <w:r>
        <w:t>One hears talk everywhere that the great problem of society is that of the state. This is a mistake, and a serious one. The problem that overshadows all others, including that of the contemporary state, is that of capital.</w:t>
      </w:r>
      <w:r>
        <w:rPr>
          <w:rStyle w:val="FootnoteReference"/>
        </w:rPr>
        <w:footnoteReference w:id="1"/>
      </w:r>
    </w:p>
    <w:p w14:paraId="77EA0BA9" w14:textId="1BF576DD" w:rsidR="00587933" w:rsidRDefault="00587933" w:rsidP="00351616"/>
    <w:p w14:paraId="32DDBEAC" w14:textId="6CA78637" w:rsidR="00587933" w:rsidRDefault="00587933" w:rsidP="00351616">
      <w:r>
        <w:t xml:space="preserve">That every man </w:t>
      </w:r>
      <w:proofErr w:type="gramStart"/>
      <w:r>
        <w:t>endeavor</w:t>
      </w:r>
      <w:proofErr w:type="gramEnd"/>
      <w:r>
        <w:t xml:space="preserve"> peace as far as he has hope of obtaining it; and when he cannot obtain it, that he may seek, and use, all helps and advantages of war</w:t>
      </w:r>
      <w:r>
        <w:rPr>
          <w:rStyle w:val="FootnoteReference"/>
        </w:rPr>
        <w:footnoteReference w:id="2"/>
      </w:r>
    </w:p>
    <w:sectPr w:rsidR="00587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306E65" w14:textId="77777777" w:rsidR="00351616" w:rsidRDefault="00351616" w:rsidP="00351616">
      <w:pPr>
        <w:spacing w:after="0" w:line="240" w:lineRule="auto"/>
      </w:pPr>
      <w:r>
        <w:separator/>
      </w:r>
    </w:p>
  </w:endnote>
  <w:endnote w:type="continuationSeparator" w:id="0">
    <w:p w14:paraId="102F3F94" w14:textId="77777777" w:rsidR="00351616" w:rsidRDefault="00351616" w:rsidP="00351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CAFC22" w14:textId="77777777" w:rsidR="00351616" w:rsidRDefault="00351616" w:rsidP="00351616">
      <w:pPr>
        <w:spacing w:after="0" w:line="240" w:lineRule="auto"/>
      </w:pPr>
      <w:r>
        <w:separator/>
      </w:r>
    </w:p>
  </w:footnote>
  <w:footnote w:type="continuationSeparator" w:id="0">
    <w:p w14:paraId="68D754A4" w14:textId="77777777" w:rsidR="00351616" w:rsidRDefault="00351616" w:rsidP="00351616">
      <w:pPr>
        <w:spacing w:after="0" w:line="240" w:lineRule="auto"/>
      </w:pPr>
      <w:r>
        <w:continuationSeparator/>
      </w:r>
    </w:p>
  </w:footnote>
  <w:footnote w:id="1">
    <w:p w14:paraId="09E8F355" w14:textId="5EF7EF31" w:rsidR="00351616" w:rsidRDefault="00351616">
      <w:pPr>
        <w:pStyle w:val="FootnoteText"/>
      </w:pPr>
      <w:r>
        <w:rPr>
          <w:rStyle w:val="FootnoteReference"/>
        </w:rPr>
        <w:footnoteRef/>
      </w:r>
      <w:r>
        <w:t xml:space="preserve"> J.-F. Lyotard, "A Svelte Appendix to the Postmodern Question". In Political Writings, trans. Bill Readings and Kevin Paul, Minneapolis, University of Minnesota Press, p. 25.</w:t>
      </w:r>
    </w:p>
  </w:footnote>
  <w:footnote w:id="2">
    <w:p w14:paraId="71D4E10E" w14:textId="351186B4" w:rsidR="00587933" w:rsidRDefault="00587933">
      <w:pPr>
        <w:pStyle w:val="FootnoteText"/>
      </w:pPr>
      <w:r>
        <w:rPr>
          <w:rStyle w:val="FootnoteReference"/>
        </w:rPr>
        <w:footnoteRef/>
      </w:r>
      <w:r>
        <w:t xml:space="preserve"> EW III 117, Tuck </w:t>
      </w:r>
      <w:r>
        <w:t>91.</w:t>
      </w: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16"/>
    <w:rsid w:val="00351616"/>
    <w:rsid w:val="00587933"/>
    <w:rsid w:val="007F6443"/>
    <w:rsid w:val="00D7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43CE6F"/>
  <w15:chartTrackingRefBased/>
  <w15:docId w15:val="{D6DBEF9F-677A-4D6F-8334-A870ABB16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Theme="minorHAnsi" w:hAnsi="Courier New" w:cs="Courier New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516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161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516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59245-B228-4349-BFAA-36CF8677C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2344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1</cp:revision>
  <dcterms:created xsi:type="dcterms:W3CDTF">2018-11-13T17:52:00Z</dcterms:created>
  <dcterms:modified xsi:type="dcterms:W3CDTF">2018-11-17T20:15:00Z</dcterms:modified>
</cp:coreProperties>
</file>