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4A1B4" w14:textId="61CD46B0" w:rsidR="00047F3B" w:rsidRDefault="009349EE" w:rsidP="009349EE">
      <w:pPr>
        <w:pStyle w:val="Title"/>
      </w:pPr>
      <w:r>
        <w:t>The Rewrite</w:t>
      </w:r>
    </w:p>
    <w:p w14:paraId="5FC52068" w14:textId="5974F15B" w:rsidR="009349EE" w:rsidRDefault="009349EE" w:rsidP="009349EE">
      <w:pPr>
        <w:pStyle w:val="Heading1"/>
      </w:pPr>
      <w:r>
        <w:t>Preface</w:t>
      </w:r>
    </w:p>
    <w:p w14:paraId="68489D45" w14:textId="0A62784F" w:rsidR="00180FA9" w:rsidRDefault="009349EE" w:rsidP="00F11E12">
      <w:r>
        <w:t xml:space="preserve">I say the creed with </w:t>
      </w:r>
      <w:r w:rsidR="006F7B30">
        <w:t>complete</w:t>
      </w:r>
      <w:r>
        <w:t xml:space="preserve"> faith; and a </w:t>
      </w:r>
      <w:r w:rsidRPr="009349EE">
        <w:rPr>
          <w:i/>
          <w:iCs/>
        </w:rPr>
        <w:t>lot</w:t>
      </w:r>
      <w:r>
        <w:t xml:space="preserve"> of qualifications. Those qualifications are the subject here.</w:t>
      </w:r>
      <w:r w:rsidR="00180FA9">
        <w:t xml:space="preserve"> </w:t>
      </w:r>
      <w:r w:rsidR="00180FA9" w:rsidRPr="00180FA9">
        <w:t>Some of them are unusual; a few of them lean close to positions the Church has condemned</w:t>
      </w:r>
      <w:r w:rsidR="00180FA9">
        <w:t xml:space="preserve"> and where that is the case, I </w:t>
      </w:r>
      <w:r w:rsidR="00180FA9" w:rsidRPr="00180FA9">
        <w:t xml:space="preserve">name the condemned position, explain what it </w:t>
      </w:r>
      <w:proofErr w:type="gramStart"/>
      <w:r w:rsidR="00180FA9" w:rsidRPr="00180FA9">
        <w:t xml:space="preserve">actually </w:t>
      </w:r>
      <w:r w:rsidR="006F7B30">
        <w:t>holds</w:t>
      </w:r>
      <w:proofErr w:type="gramEnd"/>
      <w:r w:rsidR="00180FA9" w:rsidRPr="00180FA9">
        <w:t>, and state precisely why the position taken here is not a version of it.</w:t>
      </w:r>
    </w:p>
    <w:p w14:paraId="7A3884D6" w14:textId="36E9A8A3" w:rsidR="009D2B6B" w:rsidRDefault="00180FA9" w:rsidP="00F11E12">
      <w:r>
        <w:t>But t</w:t>
      </w:r>
      <w:r w:rsidR="009349EE">
        <w:t xml:space="preserve">his is not a </w:t>
      </w:r>
      <w:r w:rsidR="00992B15">
        <w:t>defense;</w:t>
      </w:r>
      <w:r w:rsidR="009349EE">
        <w:t xml:space="preserve"> it</w:t>
      </w:r>
      <w:r w:rsidR="00F11E12" w:rsidRPr="00F11E12">
        <w:t xml:space="preserve"> </w:t>
      </w:r>
      <w:r w:rsidR="00F11E12" w:rsidRPr="00F11E12">
        <w:t xml:space="preserve">is a </w:t>
      </w:r>
      <w:r w:rsidR="00F11E12" w:rsidRPr="00F11E12">
        <w:rPr>
          <w:i/>
          <w:iCs/>
        </w:rPr>
        <w:t>gloss</w:t>
      </w:r>
      <w:r w:rsidR="00F11E12" w:rsidRPr="00F11E12">
        <w:t xml:space="preserve">. The word originally </w:t>
      </w:r>
      <w:r w:rsidR="00F11E12">
        <w:t>meant</w:t>
      </w:r>
      <w:r w:rsidR="00F11E12" w:rsidRPr="00F11E12">
        <w:t xml:space="preserve"> a brief notation in a manuscript explaining a term in a language the reader </w:t>
      </w:r>
      <w:r w:rsidR="00F11E12">
        <w:t>is</w:t>
      </w:r>
      <w:r w:rsidR="00F11E12" w:rsidRPr="00F11E12">
        <w:t xml:space="preserve"> not</w:t>
      </w:r>
      <w:r w:rsidR="00F11E12">
        <w:t xml:space="preserve"> expected to know. Throughout history, however,</w:t>
      </w:r>
      <w:r w:rsidR="00F11E12" w:rsidRPr="00F11E12">
        <w:t xml:space="preserve"> glosses have migrat</w:t>
      </w:r>
      <w:r w:rsidR="00F11E12">
        <w:t>ed</w:t>
      </w:r>
      <w:r w:rsidR="00F11E12" w:rsidRPr="00F11E12">
        <w:t xml:space="preserve">, becoming associated with the text they served and occasionally </w:t>
      </w:r>
      <w:r w:rsidR="00F11E12" w:rsidRPr="00F11E12">
        <w:rPr>
          <w:i/>
          <w:iCs/>
        </w:rPr>
        <w:t>confused</w:t>
      </w:r>
      <w:r w:rsidR="00F11E12" w:rsidRPr="00F11E12">
        <w:t xml:space="preserve"> for it</w:t>
      </w:r>
      <w:r w:rsidR="00A1345C">
        <w:t>, a fact to acknowledge here at the start.</w:t>
      </w:r>
      <w:r w:rsidR="009D2B6B">
        <w:t xml:space="preserve"> </w:t>
      </w:r>
      <w:r w:rsidR="00F11E12" w:rsidRPr="00F11E12">
        <w:t xml:space="preserve">In law </w:t>
      </w:r>
      <w:r w:rsidR="00A1345C">
        <w:rPr>
          <w:i/>
          <w:iCs/>
        </w:rPr>
        <w:t>gloss</w:t>
      </w:r>
      <w:r w:rsidR="00F11E12" w:rsidRPr="00F11E12">
        <w:t xml:space="preserve"> means something </w:t>
      </w:r>
      <w:r w:rsidR="00A1345C">
        <w:t>specific as well</w:t>
      </w:r>
      <w:r w:rsidR="00F11E12" w:rsidRPr="00F11E12">
        <w:t>: a judge's interpretation</w:t>
      </w:r>
      <w:r w:rsidR="00A1345C">
        <w:t xml:space="preserve">, </w:t>
      </w:r>
      <w:r w:rsidR="00F11E12" w:rsidRPr="00F11E12">
        <w:t xml:space="preserve">not </w:t>
      </w:r>
      <w:r w:rsidR="00A1345C">
        <w:t xml:space="preserve">a </w:t>
      </w:r>
      <w:r w:rsidR="00F11E12" w:rsidRPr="00F11E12">
        <w:t>report</w:t>
      </w:r>
      <w:r w:rsidR="00A1345C">
        <w:t xml:space="preserve"> about</w:t>
      </w:r>
      <w:r w:rsidR="00F11E12" w:rsidRPr="00F11E12">
        <w:t xml:space="preserve"> what a statute says </w:t>
      </w:r>
      <w:r w:rsidR="00A1345C">
        <w:t xml:space="preserve">in the abstract, </w:t>
      </w:r>
      <w:r w:rsidR="00F11E12" w:rsidRPr="00F11E12">
        <w:t xml:space="preserve">but </w:t>
      </w:r>
      <w:r w:rsidR="00A1345C">
        <w:t xml:space="preserve">a </w:t>
      </w:r>
      <w:r w:rsidR="00F11E12" w:rsidRPr="00F11E12">
        <w:t>declar</w:t>
      </w:r>
      <w:r w:rsidR="00A1345C">
        <w:t>ation of</w:t>
      </w:r>
      <w:r w:rsidR="00F11E12" w:rsidRPr="00F11E12">
        <w:t xml:space="preserve"> what it means when applied.</w:t>
      </w:r>
    </w:p>
    <w:p w14:paraId="7A7DFA7C" w14:textId="30477C54" w:rsidR="00165268" w:rsidRDefault="00F11E12" w:rsidP="00F11E12">
      <w:r w:rsidRPr="00F11E12">
        <w:t>I mean both</w:t>
      </w:r>
      <w:r w:rsidR="00165268">
        <w:t>, the content of each word and their proper application</w:t>
      </w:r>
      <w:r w:rsidR="006F7B30">
        <w:t>.</w:t>
      </w:r>
      <w:r w:rsidR="009D2B6B">
        <w:t xml:space="preserve"> The Creed is a translation of a translation</w:t>
      </w:r>
      <w:r w:rsidR="00165268">
        <w:t xml:space="preserve"> </w:t>
      </w:r>
      <w:r w:rsidR="006F7B30">
        <w:t>(</w:t>
      </w:r>
      <w:r w:rsidR="00165268">
        <w:t>of a translation</w:t>
      </w:r>
      <w:r w:rsidR="006F7B30">
        <w:t>!)</w:t>
      </w:r>
      <w:r w:rsidR="009D2B6B">
        <w:t xml:space="preserve"> and the seams show. At times all that is required for my qualifications is a look at the pitfalls of the translation; other times, </w:t>
      </w:r>
      <w:r w:rsidR="00165268">
        <w:t xml:space="preserve">neither </w:t>
      </w:r>
      <w:r w:rsidR="009D2B6B">
        <w:t>Hebrew, Greek, nor Latin can convey the nuance I am looking for and Sanskrit is employed.</w:t>
      </w:r>
    </w:p>
    <w:p w14:paraId="1A1FB943" w14:textId="32C238FB" w:rsidR="00E011B9" w:rsidRDefault="00E011B9" w:rsidP="00E011B9">
      <w:pPr>
        <w:pStyle w:val="Heading1"/>
      </w:pPr>
      <w:r>
        <w:t>Introduction</w:t>
      </w:r>
    </w:p>
    <w:p w14:paraId="552C6C62" w14:textId="78023F0B" w:rsidR="00E011B9" w:rsidRDefault="00E011B9" w:rsidP="00E011B9">
      <w:r>
        <w:t xml:space="preserve">The Creed begins by borrowing, and the borrowing should be admitted before anything else. </w:t>
      </w:r>
      <w:r w:rsidRPr="00E011B9">
        <w:rPr>
          <w:i/>
          <w:iCs/>
        </w:rPr>
        <w:t>We believe in one God</w:t>
      </w:r>
      <w:r>
        <w:t xml:space="preserve"> is the Shema in Greek dress. </w:t>
      </w:r>
      <w:r w:rsidRPr="00E011B9">
        <w:rPr>
          <w:i/>
          <w:iCs/>
        </w:rPr>
        <w:t>Hear, O Israel, the LORD our God, the LORD is one</w:t>
      </w:r>
      <w:r>
        <w:t xml:space="preserve"> — and the appropriation goes deeper than the opening line, because Paul had already divided the verse before any council met. Writing to Corinth he gives </w:t>
      </w:r>
      <w:r w:rsidRPr="00E011B9">
        <w:rPr>
          <w:i/>
          <w:iCs/>
        </w:rPr>
        <w:t>God</w:t>
      </w:r>
      <w:r>
        <w:t xml:space="preserve"> to the Father and </w:t>
      </w:r>
      <w:r w:rsidRPr="00E011B9">
        <w:rPr>
          <w:i/>
          <w:iCs/>
        </w:rPr>
        <w:t>Lord</w:t>
      </w:r>
      <w:r>
        <w:t xml:space="preserve"> to Jesus, </w:t>
      </w:r>
      <w:r>
        <w:t>taking</w:t>
      </w:r>
      <w:r>
        <w:t xml:space="preserve"> both words from the same sentence. Which is elegant, and which leaves nothing for the Spirit. It is the reason the Creed, when it finally reaches him, cannot call him God, and it is the reason the two Lords bothered me when I was a boy.</w:t>
      </w:r>
    </w:p>
    <w:p w14:paraId="4D52EC38" w14:textId="73E6D764" w:rsidR="00E011B9" w:rsidRDefault="00E011B9" w:rsidP="00E011B9">
      <w:proofErr w:type="gramStart"/>
      <w:r>
        <w:t>So</w:t>
      </w:r>
      <w:proofErr w:type="gramEnd"/>
      <w:r>
        <w:t xml:space="preserve"> the question is worth asking directly: what are Jews doing when they say the Shema, and is it what I am doing </w:t>
      </w:r>
      <w:r>
        <w:t>when I say the creed</w:t>
      </w:r>
      <w:r>
        <w:t>?</w:t>
      </w:r>
    </w:p>
    <w:p w14:paraId="1A65399D" w14:textId="7EBBAFC1" w:rsidR="00E011B9" w:rsidRDefault="00E011B9" w:rsidP="00E011B9">
      <w:r>
        <w:t xml:space="preserve">The answer is more useful to me than I expected. The Shema is not a creed. Saying it is </w:t>
      </w:r>
      <w:proofErr w:type="spellStart"/>
      <w:r w:rsidRPr="00E011B9">
        <w:rPr>
          <w:i/>
          <w:iCs/>
        </w:rPr>
        <w:t>kabbalat</w:t>
      </w:r>
      <w:proofErr w:type="spellEnd"/>
      <w:r w:rsidRPr="00E011B9">
        <w:rPr>
          <w:i/>
          <w:iCs/>
        </w:rPr>
        <w:t xml:space="preserve"> </w:t>
      </w:r>
      <w:proofErr w:type="spellStart"/>
      <w:r w:rsidRPr="00E011B9">
        <w:rPr>
          <w:i/>
          <w:iCs/>
        </w:rPr>
        <w:t>ol</w:t>
      </w:r>
      <w:proofErr w:type="spellEnd"/>
      <w:r w:rsidRPr="00E011B9">
        <w:rPr>
          <w:i/>
          <w:iCs/>
        </w:rPr>
        <w:t xml:space="preserve"> </w:t>
      </w:r>
      <w:proofErr w:type="spellStart"/>
      <w:r w:rsidRPr="00E011B9">
        <w:rPr>
          <w:i/>
          <w:iCs/>
        </w:rPr>
        <w:t>malchut</w:t>
      </w:r>
      <w:proofErr w:type="spellEnd"/>
      <w:r w:rsidRPr="00E011B9">
        <w:rPr>
          <w:i/>
          <w:iCs/>
        </w:rPr>
        <w:t xml:space="preserve"> </w:t>
      </w:r>
      <w:proofErr w:type="spellStart"/>
      <w:r w:rsidRPr="00E011B9">
        <w:rPr>
          <w:i/>
          <w:iCs/>
        </w:rPr>
        <w:t>shamayim</w:t>
      </w:r>
      <w:proofErr w:type="spellEnd"/>
      <w:r w:rsidRPr="00E011B9">
        <w:rPr>
          <w:i/>
          <w:iCs/>
        </w:rPr>
        <w:t>,</w:t>
      </w:r>
      <w:r>
        <w:t xml:space="preserve"> the acceptance of the yoke of the kingdom of heaven — an act rather than a proposition, performed twice daily, closer to a coronation than to a signature on a document. And its meaning has been turned over continuously for two thousand years without anyone imagining that reciting it commits the reciter to one </w:t>
      </w:r>
      <w:r>
        <w:lastRenderedPageBreak/>
        <w:t xml:space="preserve">philosophical account of </w:t>
      </w:r>
      <w:proofErr w:type="spellStart"/>
      <w:r w:rsidRPr="00E011B9">
        <w:rPr>
          <w:i/>
          <w:iCs/>
        </w:rPr>
        <w:t>echad</w:t>
      </w:r>
      <w:proofErr w:type="spellEnd"/>
      <w:r>
        <w:t>. Rashi and Ibn Ezra do not agree about what the word claims. Nobody thinks this disqualifies either of them from saying it.</w:t>
      </w:r>
    </w:p>
    <w:p w14:paraId="538590FD" w14:textId="0A28135F" w:rsidR="00E011B9" w:rsidRDefault="00E011B9" w:rsidP="00E011B9">
      <w:r>
        <w:t>That is my relation to the Creed. The saying is the act. The meaning is the work of a life, and this document is a report from partway through it.</w:t>
      </w:r>
    </w:p>
    <w:p w14:paraId="232530A9" w14:textId="3E7BEC0B" w:rsidR="00E011B9" w:rsidRDefault="00E011B9" w:rsidP="00E011B9">
      <w:r>
        <w:t xml:space="preserve">There is a detail in the scroll I cannot leave out. The </w:t>
      </w:r>
      <w:r w:rsidRPr="00CE3C43">
        <w:rPr>
          <w:i/>
          <w:iCs/>
        </w:rPr>
        <w:t>ayin</w:t>
      </w:r>
      <w:r>
        <w:t xml:space="preserve"> of </w:t>
      </w:r>
      <w:proofErr w:type="spellStart"/>
      <w:r w:rsidRPr="00CE3C43">
        <w:rPr>
          <w:i/>
          <w:iCs/>
        </w:rPr>
        <w:t>shema</w:t>
      </w:r>
      <w:proofErr w:type="spellEnd"/>
      <w:r>
        <w:t xml:space="preserve"> and the </w:t>
      </w:r>
      <w:proofErr w:type="spellStart"/>
      <w:r w:rsidRPr="00CE3C43">
        <w:rPr>
          <w:i/>
          <w:iCs/>
        </w:rPr>
        <w:t>dalet</w:t>
      </w:r>
      <w:proofErr w:type="spellEnd"/>
      <w:r>
        <w:t xml:space="preserve"> of </w:t>
      </w:r>
      <w:proofErr w:type="spellStart"/>
      <w:r w:rsidRPr="00CE3C43">
        <w:rPr>
          <w:i/>
          <w:iCs/>
        </w:rPr>
        <w:t>echad</w:t>
      </w:r>
      <w:proofErr w:type="spellEnd"/>
      <w:r>
        <w:t xml:space="preserve"> are written large, and together they spell </w:t>
      </w:r>
      <w:r w:rsidRPr="00CE3C43">
        <w:rPr>
          <w:i/>
          <w:iCs/>
        </w:rPr>
        <w:t>ed</w:t>
      </w:r>
      <w:r>
        <w:t xml:space="preserve"> — witness. To say the words is to be made one. I did not put that there, and when I </w:t>
      </w:r>
      <w:proofErr w:type="gramStart"/>
      <w:r>
        <w:t>reach</w:t>
      </w:r>
      <w:proofErr w:type="gramEnd"/>
      <w:r>
        <w:t xml:space="preserve"> the clause about the Church it </w:t>
      </w:r>
      <w:proofErr w:type="gramStart"/>
      <w:r>
        <w:t>turns</w:t>
      </w:r>
      <w:proofErr w:type="gramEnd"/>
      <w:r>
        <w:t xml:space="preserve"> out to have been waiting.</w:t>
      </w:r>
    </w:p>
    <w:p w14:paraId="6AC72488" w14:textId="77777777" w:rsidR="00E011B9" w:rsidRDefault="00E011B9" w:rsidP="00E011B9">
      <w:r>
        <w:t xml:space="preserve">Nothing in this account can be run forward. Every disclosure I describe becomes legible only afterward. The third day is read back into Hosea; the cross is read back from the resurrection; the criterion I </w:t>
      </w:r>
      <w:proofErr w:type="gramStart"/>
      <w:r>
        <w:t>use</w:t>
      </w:r>
      <w:proofErr w:type="gramEnd"/>
      <w:r>
        <w:t xml:space="preserve"> to say what is unique about Christ is settled by something that happened after the criterion was applied. This is not a defect I intend to repair. It is what recognition is: you cannot see what you are looking at until you have seen it, and then you cannot </w:t>
      </w:r>
      <w:proofErr w:type="gramStart"/>
      <w:r>
        <w:t>unsee</w:t>
      </w:r>
      <w:proofErr w:type="gramEnd"/>
      <w:r>
        <w:t xml:space="preserve"> that it was there the whole time.</w:t>
      </w:r>
    </w:p>
    <w:sectPr w:rsidR="00E011B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6BF931" w14:textId="77777777" w:rsidR="00757CB5" w:rsidRDefault="00757CB5" w:rsidP="009349EE">
      <w:pPr>
        <w:spacing w:after="0" w:line="240" w:lineRule="auto"/>
      </w:pPr>
      <w:r>
        <w:separator/>
      </w:r>
    </w:p>
  </w:endnote>
  <w:endnote w:type="continuationSeparator" w:id="0">
    <w:p w14:paraId="008CB795" w14:textId="77777777" w:rsidR="00757CB5" w:rsidRDefault="00757CB5" w:rsidP="009349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BB3138" w14:textId="77777777" w:rsidR="00757CB5" w:rsidRDefault="00757CB5" w:rsidP="009349EE">
      <w:pPr>
        <w:spacing w:after="0" w:line="240" w:lineRule="auto"/>
      </w:pPr>
      <w:r>
        <w:separator/>
      </w:r>
    </w:p>
  </w:footnote>
  <w:footnote w:type="continuationSeparator" w:id="0">
    <w:p w14:paraId="3096D041" w14:textId="77777777" w:rsidR="00757CB5" w:rsidRDefault="00757CB5" w:rsidP="009349E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49EE"/>
    <w:rsid w:val="00047F3B"/>
    <w:rsid w:val="00165268"/>
    <w:rsid w:val="00180FA9"/>
    <w:rsid w:val="003714E8"/>
    <w:rsid w:val="003836D9"/>
    <w:rsid w:val="00511605"/>
    <w:rsid w:val="006F7B30"/>
    <w:rsid w:val="00757CB5"/>
    <w:rsid w:val="00812FA9"/>
    <w:rsid w:val="009349EE"/>
    <w:rsid w:val="00992B15"/>
    <w:rsid w:val="0099410A"/>
    <w:rsid w:val="009D2B6B"/>
    <w:rsid w:val="00A1345C"/>
    <w:rsid w:val="00CE3C43"/>
    <w:rsid w:val="00E011B9"/>
    <w:rsid w:val="00F11E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D375F"/>
  <w15:chartTrackingRefBased/>
  <w15:docId w15:val="{8A214A70-BD9D-495A-B279-073BB5E9B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49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49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49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49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49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49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49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49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49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49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49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49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49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49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49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49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49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49EE"/>
    <w:rPr>
      <w:rFonts w:eastAsiaTheme="majorEastAsia" w:cstheme="majorBidi"/>
      <w:color w:val="272727" w:themeColor="text1" w:themeTint="D8"/>
    </w:rPr>
  </w:style>
  <w:style w:type="paragraph" w:styleId="Title">
    <w:name w:val="Title"/>
    <w:basedOn w:val="Normal"/>
    <w:next w:val="Normal"/>
    <w:link w:val="TitleChar"/>
    <w:uiPriority w:val="10"/>
    <w:qFormat/>
    <w:rsid w:val="009349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49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49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49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49EE"/>
    <w:pPr>
      <w:spacing w:before="160"/>
      <w:jc w:val="center"/>
    </w:pPr>
    <w:rPr>
      <w:i/>
      <w:iCs/>
      <w:color w:val="404040" w:themeColor="text1" w:themeTint="BF"/>
    </w:rPr>
  </w:style>
  <w:style w:type="character" w:customStyle="1" w:styleId="QuoteChar">
    <w:name w:val="Quote Char"/>
    <w:basedOn w:val="DefaultParagraphFont"/>
    <w:link w:val="Quote"/>
    <w:uiPriority w:val="29"/>
    <w:rsid w:val="009349EE"/>
    <w:rPr>
      <w:i/>
      <w:iCs/>
      <w:color w:val="404040" w:themeColor="text1" w:themeTint="BF"/>
    </w:rPr>
  </w:style>
  <w:style w:type="paragraph" w:styleId="ListParagraph">
    <w:name w:val="List Paragraph"/>
    <w:basedOn w:val="Normal"/>
    <w:uiPriority w:val="34"/>
    <w:qFormat/>
    <w:rsid w:val="009349EE"/>
    <w:pPr>
      <w:ind w:left="720"/>
      <w:contextualSpacing/>
    </w:pPr>
  </w:style>
  <w:style w:type="character" w:styleId="IntenseEmphasis">
    <w:name w:val="Intense Emphasis"/>
    <w:basedOn w:val="DefaultParagraphFont"/>
    <w:uiPriority w:val="21"/>
    <w:qFormat/>
    <w:rsid w:val="009349EE"/>
    <w:rPr>
      <w:i/>
      <w:iCs/>
      <w:color w:val="0F4761" w:themeColor="accent1" w:themeShade="BF"/>
    </w:rPr>
  </w:style>
  <w:style w:type="paragraph" w:styleId="IntenseQuote">
    <w:name w:val="Intense Quote"/>
    <w:basedOn w:val="Normal"/>
    <w:next w:val="Normal"/>
    <w:link w:val="IntenseQuoteChar"/>
    <w:uiPriority w:val="30"/>
    <w:qFormat/>
    <w:rsid w:val="009349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49EE"/>
    <w:rPr>
      <w:i/>
      <w:iCs/>
      <w:color w:val="0F4761" w:themeColor="accent1" w:themeShade="BF"/>
    </w:rPr>
  </w:style>
  <w:style w:type="character" w:styleId="IntenseReference">
    <w:name w:val="Intense Reference"/>
    <w:basedOn w:val="DefaultParagraphFont"/>
    <w:uiPriority w:val="32"/>
    <w:qFormat/>
    <w:rsid w:val="009349EE"/>
    <w:rPr>
      <w:b/>
      <w:bCs/>
      <w:smallCaps/>
      <w:color w:val="0F4761" w:themeColor="accent1" w:themeShade="BF"/>
      <w:spacing w:val="5"/>
    </w:rPr>
  </w:style>
  <w:style w:type="paragraph" w:styleId="FootnoteText">
    <w:name w:val="footnote text"/>
    <w:basedOn w:val="Normal"/>
    <w:link w:val="FootnoteTextChar"/>
    <w:uiPriority w:val="99"/>
    <w:semiHidden/>
    <w:unhideWhenUsed/>
    <w:rsid w:val="009349E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349EE"/>
    <w:rPr>
      <w:sz w:val="20"/>
      <w:szCs w:val="20"/>
    </w:rPr>
  </w:style>
  <w:style w:type="character" w:styleId="FootnoteReference">
    <w:name w:val="footnote reference"/>
    <w:basedOn w:val="DefaultParagraphFont"/>
    <w:uiPriority w:val="99"/>
    <w:semiHidden/>
    <w:unhideWhenUsed/>
    <w:rsid w:val="009349E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EEF124-7FAF-45A6-90F3-1D66E46EC1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2</Pages>
  <Words>532</Words>
  <Characters>3033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Williamson</dc:creator>
  <cp:keywords/>
  <dc:description/>
  <cp:lastModifiedBy>Stephen Williamson</cp:lastModifiedBy>
  <cp:revision>1</cp:revision>
  <dcterms:created xsi:type="dcterms:W3CDTF">2026-08-09T18:29:00Z</dcterms:created>
  <dcterms:modified xsi:type="dcterms:W3CDTF">2026-08-09T20:30:00Z</dcterms:modified>
</cp:coreProperties>
</file>