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C9963A" w:sz="12"/>
              <w:bottom w:val="none" w:color="FFFFFF" w:sz="0"/>
              <w:right w:val="none" w:color="FFFFFF" w:sz="0"/>
            </w:tcBorders>
            <w:shd w:fill="FFF8E6" w:val="clear"/>
            <w:tcMar>
              <w:top w:type="dxa" w:w="40"/>
              <w:left w:type="dxa" w:w="100"/>
              <w:bottom w:type="dxa" w:w="40"/>
              <w:right w:type="dxa" w:w="60"/>
            </w:tcMar>
          </w:tcPr>
          <w:p>
            <w:pPr>
              <w:spacing w:before="0" w:after="0"/>
            </w:pPr>
            <w:r>
              <w:rPr>
                <w:rFonts w:ascii="Arial" w:cs="Arial" w:eastAsia="Arial" w:hAnsi="Arial"/>
                <w:b/>
                <w:bCs/>
                <w:color w:val="C9963A"/>
                <w:sz w:val="18"/>
                <w:szCs w:val="18"/>
              </w:rPr>
              <w:t xml:space="preserve">GOLD — Read Aloud: </w:t>
            </w:r>
            <w:r>
              <w:rPr>
                <w:rFonts w:ascii="Arial" w:cs="Arial" w:eastAsia="Arial" w:hAnsi="Arial"/>
                <w:i/>
                <w:iCs/>
                <w:color w:val="231340"/>
                <w:sz w:val="18"/>
                <w:szCs w:val="18"/>
              </w:rPr>
              <w:t xml:space="preserve">Speak these words to the group.</w:t>
            </w:r>
          </w:p>
        </w:tc>
        <w:tc>
          <w:tcPr>
            <w:tcW w:type="dxa" w:w="4680"/>
            <w:tcBorders>
              <w:top w:val="none" w:color="FFFFFF" w:sz="0"/>
              <w:left w:val="single" w:color="5C3484" w:sz="12"/>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PURPLE — Direction: </w:t>
            </w:r>
            <w:r>
              <w:rPr>
                <w:rFonts w:ascii="Arial" w:cs="Arial" w:eastAsia="Arial" w:hAnsi="Arial"/>
                <w:i/>
                <w:iCs/>
                <w:color w:val="231340"/>
                <w:sz w:val="18"/>
                <w:szCs w:val="18"/>
              </w:rPr>
              <w:t xml:space="preserve">Action or stage instruction.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9963A" w:val="clear"/>
            <w:tcMar>
              <w:top w:type="dxa" w:w="50"/>
              <w:left w:type="dxa" w:w="100"/>
              <w:bottom w:type="dxa" w:w="50"/>
              <w:right w:type="dxa" w:w="60"/>
            </w:tcMar>
            <w:vAlign w:val="center"/>
          </w:tcPr>
          <w:p>
            <w:pPr>
              <w:spacing w:before="0" w:after="0"/>
              <w:jc w:val="center"/>
            </w:pPr>
            <w:r>
              <w:rPr>
                <w:rFonts w:ascii="Arial" w:cs="Arial" w:eastAsia="Arial" w:hAnsi="Arial"/>
                <w:b/>
                <w:bCs/>
                <w:color w:val="3B1F5E"/>
                <w:sz w:val="18"/>
                <w:szCs w:val="18"/>
              </w:rPr>
              <w:t xml:space="preserve">0–10 min</w:t>
            </w:r>
          </w:p>
        </w:tc>
        <w:tc>
          <w:tcPr>
            <w:tcW w:type="dxa" w:w="7760"/>
            <w:tcBorders>
              <w:top w:val="none" w:color="FFFFFF" w:sz="0"/>
              <w:left w:val="none" w:color="FFFFFF" w:sz="0"/>
              <w:bottom w:val="none" w:color="FFFFFF" w:sz="0"/>
              <w:right w:val="none" w:color="FFFFFF" w:sz="0"/>
            </w:tcBorders>
            <w:shd w:fill="3B1F5E" w:val="clear"/>
            <w:tcMar>
              <w:top w:type="dxa" w:w="80"/>
              <w:left w:type="dxa" w:w="160"/>
              <w:bottom w:type="dxa" w:w="80"/>
              <w:right w:type="dxa" w:w="120"/>
            </w:tcMar>
            <w:vAlign w:val="center"/>
          </w:tcPr>
          <w:p>
            <w:pPr>
              <w:spacing w:before="0" w:after="0"/>
            </w:pPr>
            <w:r>
              <w:rPr>
                <w:rFonts w:ascii="Georgia" w:cs="Georgia" w:eastAsia="Georgia" w:hAnsi="Georgia"/>
                <w:b/>
                <w:bCs/>
                <w:color w:val="FFFFFF"/>
                <w:sz w:val="21"/>
                <w:szCs w:val="21"/>
              </w:rPr>
              <w:t xml:space="preserve">Welcome &amp; Centering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Display the title slide. Allow a moment of silence as the room settles.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Welcome. This Lent, we’re going to sit with a paradox that sits at the center of Christian life: we know how the story ends, and yet we live inside it before the ending arrives. That’s what it means to be Easter people in a Good Friday world.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Let’s open with prayer.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Offer a brief collect from the Lenten liturgy or a prayer of your own. Keep it under one minute.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Before we go any further, I want to give us a chance to name where we are. We’re going to go around the room once. Each person names — just one or two words, no elaboration — one thing in your life or the world that feels like Good Friday right now. I’ll start.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Go first with something genuine and brief. Then go around the room. Receive each share in silence — no responding, no affirming, no fixing.</w:t>
            </w:r>
          </w:p>
        </w:tc>
      </w:tr>
    </w:tbl>
    <w:p>
      <w:pPr>
        <w:spacing w:before="0" w:after="8"/>
      </w:pPr>
    </w:p>
    <w:p>
      <w:pPr>
        <w:spacing w:before="60" w:after="60"/>
        <w:ind w:left="360"/>
      </w:pPr>
      <w:r>
        <w:rPr>
          <w:rFonts w:ascii="Arial" w:cs="Arial" w:eastAsia="Arial" w:hAnsi="Arial"/>
          <w:b/>
          <w:bCs/>
          <w:color w:val="3B1F5E"/>
          <w:sz w:val="18"/>
          <w:szCs w:val="18"/>
        </w:rPr>
        <w:t xml:space="preserve">Note: </w:t>
      </w:r>
      <w:r>
        <w:rPr>
          <w:rFonts w:ascii="Arial" w:cs="Arial" w:eastAsia="Arial" w:hAnsi="Arial"/>
          <w:i/>
          <w:iCs/>
          <w:color w:val="555555"/>
          <w:sz w:val="18"/>
          <w:szCs w:val="18"/>
        </w:rPr>
        <w:t xml:space="preserve">If the group is large, invite volunteers rather than going around the full room. The silence between names is part of the practice.</w:t>
      </w:r>
    </w:p>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9963A" w:val="clear"/>
            <w:tcMar>
              <w:top w:type="dxa" w:w="50"/>
              <w:left w:type="dxa" w:w="100"/>
              <w:bottom w:type="dxa" w:w="50"/>
              <w:right w:type="dxa" w:w="60"/>
            </w:tcMar>
            <w:vAlign w:val="center"/>
          </w:tcPr>
          <w:p>
            <w:pPr>
              <w:spacing w:before="0" w:after="0"/>
              <w:jc w:val="center"/>
            </w:pPr>
            <w:r>
              <w:rPr>
                <w:rFonts w:ascii="Arial" w:cs="Arial" w:eastAsia="Arial" w:hAnsi="Arial"/>
                <w:b/>
                <w:bCs/>
                <w:color w:val="3B1F5E"/>
                <w:sz w:val="18"/>
                <w:szCs w:val="18"/>
              </w:rPr>
              <w:t xml:space="preserve">10–30 min</w:t>
            </w:r>
          </w:p>
        </w:tc>
        <w:tc>
          <w:tcPr>
            <w:tcW w:type="dxa" w:w="7760"/>
            <w:tcBorders>
              <w:top w:val="none" w:color="FFFFFF" w:sz="0"/>
              <w:left w:val="none" w:color="FFFFFF" w:sz="0"/>
              <w:bottom w:val="none" w:color="FFFFFF" w:sz="0"/>
              <w:right w:val="none" w:color="FFFFFF" w:sz="0"/>
            </w:tcBorders>
            <w:shd w:fill="3B1F5E" w:val="clear"/>
            <w:tcMar>
              <w:top w:type="dxa" w:w="80"/>
              <w:left w:type="dxa" w:w="160"/>
              <w:bottom w:type="dxa" w:w="80"/>
              <w:right w:type="dxa" w:w="120"/>
            </w:tcMar>
            <w:vAlign w:val="center"/>
          </w:tcPr>
          <w:p>
            <w:pPr>
              <w:spacing w:before="0" w:after="0"/>
            </w:pPr>
            <w:r>
              <w:rPr>
                <w:rFonts w:ascii="Georgia" w:cs="Georgia" w:eastAsia="Georgia" w:hAnsi="Georgia"/>
                <w:b/>
                <w:bCs/>
                <w:color w:val="FFFFFF"/>
                <w:sz w:val="21"/>
                <w:szCs w:val="21"/>
              </w:rPr>
              <w:t xml:space="preserve">Teaching: Holding Both</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Advance to the Teaching slide. Speak to the three movements in sequence. Don’t rush Movement I.</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We’re going to move through three phases — and the sequence matters. Honesty first. Hope second. Tension throughout.</w:t>
            </w:r>
          </w:p>
        </w:tc>
      </w:tr>
    </w:tbl>
    <w:p>
      <w:pPr>
        <w:spacing w:before="0" w:after="8"/>
      </w:pPr>
    </w:p>
    <w:p>
      <w:pPr>
        <w:spacing w:before="30" w:after="8"/>
      </w:pPr>
      <w:r>
        <w:rPr>
          <w:rFonts w:ascii="Georgia" w:cs="Georgia" w:eastAsia="Georgia" w:hAnsi="Georgia"/>
          <w:b/>
          <w:bCs/>
          <w:color w:val="3B1F5E"/>
          <w:sz w:val="18"/>
          <w:szCs w:val="18"/>
        </w:rPr>
        <w:t xml:space="preserve">Movement I — Good Friday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The Episcopal tradition does not flinch from lament. Psalm 22 — the psalm Jesus quoted from the cross — opens: “My God, my God, why have you forsaken me?” That is not a failure of faith. That is faith. Bringing raw grief to God is not the opposite of prayer — it is prayer. A Good Friday world means illness, injustice, grief that doesn’t resolve on any schedule. We do not rush past this.</w:t>
            </w:r>
          </w:p>
        </w:tc>
      </w:tr>
    </w:tbl>
    <w:p>
      <w:pPr>
        <w:spacing w:before="0" w:after="8"/>
      </w:pPr>
    </w:p>
    <w:p>
      <w:pPr>
        <w:spacing w:before="30" w:after="8"/>
      </w:pPr>
      <w:r>
        <w:rPr>
          <w:rFonts w:ascii="Georgia" w:cs="Georgia" w:eastAsia="Georgia" w:hAnsi="Georgia"/>
          <w:b/>
          <w:bCs/>
          <w:color w:val="3B1F5E"/>
          <w:sz w:val="18"/>
          <w:szCs w:val="18"/>
        </w:rPr>
        <w:t xml:space="preserve">Movement II — Easter Is Also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Easter people are not optimists. They hold a specific theological claim: death does not have the final word. Paul writes in Romans 8 of hope that is ‘not yet seen’ — hope with teeth, not wishful thinking. And notice: the risen Christ still bears wounds. Easter does not erase the scars. It holds them differently.</w:t>
            </w:r>
          </w:p>
        </w:tc>
      </w:tr>
    </w:tbl>
    <w:p>
      <w:pPr>
        <w:spacing w:before="0" w:after="8"/>
      </w:pPr>
    </w:p>
    <w:p>
      <w:pPr>
        <w:spacing w:before="30" w:after="8"/>
      </w:pPr>
      <w:r>
        <w:rPr>
          <w:rFonts w:ascii="Georgia" w:cs="Georgia" w:eastAsia="Georgia" w:hAnsi="Georgia"/>
          <w:b/>
          <w:bCs/>
          <w:color w:val="3B1F5E"/>
          <w:sz w:val="18"/>
          <w:szCs w:val="18"/>
        </w:rPr>
        <w:t xml:space="preserve">Movement III — The Tension Is the Spiritual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In John 11, Jesus weeps at Lazarus’s tomb — not because he doesn’t know what he’s about to do, but because he enters fully into the grief of those he loves before he acts. Being Easter people means we are allowed — called, even — to grieve fully while trusting ultimately. Holding both is not confusion. It is the spiritual life.</w:t>
            </w:r>
          </w:p>
        </w:tc>
      </w:tr>
    </w:tbl>
    <w:p>
      <w:pPr>
        <w:spacing w:before="0" w:after="8"/>
      </w:pPr>
    </w:p>
    <w:p>
      <w:pPr>
        <w:spacing w:before="60" w:after="60"/>
        <w:ind w:left="360"/>
      </w:pPr>
      <w:r>
        <w:rPr>
          <w:rFonts w:ascii="Arial" w:cs="Arial" w:eastAsia="Arial" w:hAnsi="Arial"/>
          <w:b/>
          <w:bCs/>
          <w:color w:val="3B1F5E"/>
          <w:sz w:val="18"/>
          <w:szCs w:val="18"/>
        </w:rPr>
        <w:t xml:space="preserve">Note: </w:t>
      </w:r>
      <w:r>
        <w:rPr>
          <w:rFonts w:ascii="Arial" w:cs="Arial" w:eastAsia="Arial" w:hAnsi="Arial"/>
          <w:i/>
          <w:iCs/>
          <w:color w:val="555555"/>
          <w:sz w:val="18"/>
          <w:szCs w:val="18"/>
        </w:rPr>
        <w:t xml:space="preserve">Spend at least 7–8 minutes on Movement I. Don’t rush to resurrection.</w:t>
      </w:r>
    </w:p>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9963A" w:val="clear"/>
            <w:tcMar>
              <w:top w:type="dxa" w:w="50"/>
              <w:left w:type="dxa" w:w="100"/>
              <w:bottom w:type="dxa" w:w="50"/>
              <w:right w:type="dxa" w:w="60"/>
            </w:tcMar>
            <w:vAlign w:val="center"/>
          </w:tcPr>
          <w:p>
            <w:pPr>
              <w:spacing w:before="0" w:after="0"/>
              <w:jc w:val="center"/>
            </w:pPr>
            <w:r>
              <w:rPr>
                <w:rFonts w:ascii="Arial" w:cs="Arial" w:eastAsia="Arial" w:hAnsi="Arial"/>
                <w:b/>
                <w:bCs/>
                <w:color w:val="3B1F5E"/>
                <w:sz w:val="18"/>
                <w:szCs w:val="18"/>
              </w:rPr>
              <w:t xml:space="preserve">30–48 min</w:t>
            </w:r>
          </w:p>
        </w:tc>
        <w:tc>
          <w:tcPr>
            <w:tcW w:type="dxa" w:w="7760"/>
            <w:tcBorders>
              <w:top w:val="none" w:color="FFFFFF" w:sz="0"/>
              <w:left w:val="none" w:color="FFFFFF" w:sz="0"/>
              <w:bottom w:val="none" w:color="FFFFFF" w:sz="0"/>
              <w:right w:val="none" w:color="FFFFFF" w:sz="0"/>
            </w:tcBorders>
            <w:shd w:fill="3B1F5E" w:val="clear"/>
            <w:tcMar>
              <w:top w:type="dxa" w:w="80"/>
              <w:left w:type="dxa" w:w="160"/>
              <w:bottom w:type="dxa" w:w="80"/>
              <w:right w:type="dxa" w:w="120"/>
            </w:tcMar>
            <w:vAlign w:val="center"/>
          </w:tcPr>
          <w:p>
            <w:pPr>
              <w:spacing w:before="0" w:after="0"/>
            </w:pPr>
            <w:r>
              <w:rPr>
                <w:rFonts w:ascii="Georgia" w:cs="Georgia" w:eastAsia="Georgia" w:hAnsi="Georgia"/>
                <w:b/>
                <w:bCs/>
                <w:color w:val="FFFFFF"/>
                <w:sz w:val="21"/>
                <w:szCs w:val="21"/>
              </w:rPr>
              <w:t xml:space="preserve">Small Group Discussion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Advance to the Discussion Questions slide. Read all four questions aloud before breaking.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We’re going to break into small groups of three or four. I’ll read all four questions now — then your group chooses one and stays with it for the full time. Go deep on one rather than skimming all four.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Question one: Where in your life or community are you most aware of living in a Good Friday moment right now? What would it mean to bring Easter hope into that space — not as a solution, but as a presence?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Question two: Jesus wept at Lazarus’s tomb even knowing what he was about to do. What does that tell us about how God relates to our suffering?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Question three: The Episcopal tradition emphasizes via media — holding tensions together rather than collapsing them. How is ‘Easter people in a Good Friday world’ an expression of that instinct?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Question four: Who in your life or in history models this tension well — someone who held genuine grief and genuine hope at the same time?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Break into groups. Circulate quietly. If a group finishes early, prompt deeper: “What would it look like to actually live that way this week?”</w:t>
            </w:r>
          </w:p>
        </w:tc>
      </w:tr>
    </w:tbl>
    <w:p>
      <w:pPr>
        <w:spacing w:before="0" w:after="8"/>
      </w:pPr>
    </w:p>
    <w:p>
      <w:pPr>
        <w:spacing w:before="60" w:after="60"/>
        <w:ind w:left="360"/>
      </w:pPr>
      <w:r>
        <w:rPr>
          <w:rFonts w:ascii="Arial" w:cs="Arial" w:eastAsia="Arial" w:hAnsi="Arial"/>
          <w:b/>
          <w:bCs/>
          <w:color w:val="3B1F5E"/>
          <w:sz w:val="18"/>
          <w:szCs w:val="18"/>
        </w:rPr>
        <w:t xml:space="preserve">Note: </w:t>
      </w:r>
      <w:r>
        <w:rPr>
          <w:rFonts w:ascii="Arial" w:cs="Arial" w:eastAsia="Arial" w:hAnsi="Arial"/>
          <w:i/>
          <w:iCs/>
          <w:color w:val="555555"/>
          <w:sz w:val="18"/>
          <w:szCs w:val="18"/>
        </w:rPr>
        <w:t xml:space="preserve">If the group is too small to split, use the Scripture Readings slides and read the passages together before discussing.</w:t>
      </w:r>
    </w:p>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9963A" w:val="clear"/>
            <w:tcMar>
              <w:top w:type="dxa" w:w="50"/>
              <w:left w:type="dxa" w:w="100"/>
              <w:bottom w:type="dxa" w:w="50"/>
              <w:right w:type="dxa" w:w="60"/>
            </w:tcMar>
            <w:vAlign w:val="center"/>
          </w:tcPr>
          <w:p>
            <w:pPr>
              <w:spacing w:before="0" w:after="0"/>
              <w:jc w:val="center"/>
            </w:pPr>
            <w:r>
              <w:rPr>
                <w:rFonts w:ascii="Arial" w:cs="Arial" w:eastAsia="Arial" w:hAnsi="Arial"/>
                <w:b/>
                <w:bCs/>
                <w:color w:val="3B1F5E"/>
                <w:sz w:val="18"/>
                <w:szCs w:val="18"/>
              </w:rPr>
              <w:t xml:space="preserve">48–55 min</w:t>
            </w:r>
          </w:p>
        </w:tc>
        <w:tc>
          <w:tcPr>
            <w:tcW w:type="dxa" w:w="7760"/>
            <w:tcBorders>
              <w:top w:val="none" w:color="FFFFFF" w:sz="0"/>
              <w:left w:val="none" w:color="FFFFFF" w:sz="0"/>
              <w:bottom w:val="none" w:color="FFFFFF" w:sz="0"/>
              <w:right w:val="none" w:color="FFFFFF" w:sz="0"/>
            </w:tcBorders>
            <w:shd w:fill="3B1F5E" w:val="clear"/>
            <w:tcMar>
              <w:top w:type="dxa" w:w="80"/>
              <w:left w:type="dxa" w:w="160"/>
              <w:bottom w:type="dxa" w:w="80"/>
              <w:right w:type="dxa" w:w="120"/>
            </w:tcMar>
            <w:vAlign w:val="center"/>
          </w:tcPr>
          <w:p>
            <w:pPr>
              <w:spacing w:before="0" w:after="0"/>
            </w:pPr>
            <w:r>
              <w:rPr>
                <w:rFonts w:ascii="Georgia" w:cs="Georgia" w:eastAsia="Georgia" w:hAnsi="Georgia"/>
                <w:b/>
                <w:bCs/>
                <w:color w:val="FFFFFF"/>
                <w:sz w:val="21"/>
                <w:szCs w:val="21"/>
              </w:rPr>
              <w:t xml:space="preserve">Large Group Sharing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Reconvene. Advance to the Large Group slide. Invite one insight from each small group.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Let’s hear from each group — just one insight or moment from your conversation. You don’t need to summarize everything.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Listen for threads. After all groups share, offer a brief 2–3 sentence synthesis weaving what you heard together. Then read the following: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Lent is the church’s annual practice of being honest enough to sit with Good Friday — so that when Easter comes, it arrives as truth rather than performance.</w:t>
            </w:r>
          </w:p>
        </w:tc>
      </w:tr>
    </w:tbl>
    <w:p>
      <w:pPr>
        <w:spacing w:before="0" w:after="8"/>
      </w:pPr>
    </w:p>
    <w:p>
      <w:pPr>
        <w:spacing w:before="60" w:after="60"/>
        <w:ind w:left="360"/>
      </w:pPr>
      <w:r>
        <w:rPr>
          <w:rFonts w:ascii="Arial" w:cs="Arial" w:eastAsia="Arial" w:hAnsi="Arial"/>
          <w:b/>
          <w:bCs/>
          <w:color w:val="3B1F5E"/>
          <w:sz w:val="18"/>
          <w:szCs w:val="18"/>
        </w:rPr>
        <w:t xml:space="preserve">Note: </w:t>
      </w:r>
      <w:r>
        <w:rPr>
          <w:rFonts w:ascii="Arial" w:cs="Arial" w:eastAsia="Arial" w:hAnsi="Arial"/>
          <w:i/>
          <w:iCs/>
          <w:color w:val="555555"/>
          <w:sz w:val="18"/>
          <w:szCs w:val="18"/>
        </w:rPr>
        <w:t xml:space="preserve">Avoid filling silence. If a group shares little, nod and move on without commentary.</w:t>
      </w:r>
    </w:p>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9963A" w:val="clear"/>
            <w:tcMar>
              <w:top w:type="dxa" w:w="50"/>
              <w:left w:type="dxa" w:w="100"/>
              <w:bottom w:type="dxa" w:w="50"/>
              <w:right w:type="dxa" w:w="60"/>
            </w:tcMar>
            <w:vAlign w:val="center"/>
          </w:tcPr>
          <w:p>
            <w:pPr>
              <w:spacing w:before="0" w:after="0"/>
              <w:jc w:val="center"/>
            </w:pPr>
            <w:r>
              <w:rPr>
                <w:rFonts w:ascii="Arial" w:cs="Arial" w:eastAsia="Arial" w:hAnsi="Arial"/>
                <w:b/>
                <w:bCs/>
                <w:color w:val="3B1F5E"/>
                <w:sz w:val="18"/>
                <w:szCs w:val="18"/>
              </w:rPr>
              <w:t xml:space="preserve">55–60 min</w:t>
            </w:r>
          </w:p>
        </w:tc>
        <w:tc>
          <w:tcPr>
            <w:tcW w:type="dxa" w:w="7760"/>
            <w:tcBorders>
              <w:top w:val="none" w:color="FFFFFF" w:sz="0"/>
              <w:left w:val="none" w:color="FFFFFF" w:sz="0"/>
              <w:bottom w:val="none" w:color="FFFFFF" w:sz="0"/>
              <w:right w:val="none" w:color="FFFFFF" w:sz="0"/>
            </w:tcBorders>
            <w:shd w:fill="3B1F5E" w:val="clear"/>
            <w:tcMar>
              <w:top w:type="dxa" w:w="80"/>
              <w:left w:type="dxa" w:w="160"/>
              <w:bottom w:type="dxa" w:w="80"/>
              <w:right w:type="dxa" w:w="120"/>
            </w:tcMar>
            <w:vAlign w:val="center"/>
          </w:tcPr>
          <w:p>
            <w:pPr>
              <w:spacing w:before="0" w:after="0"/>
            </w:pPr>
            <w:r>
              <w:rPr>
                <w:rFonts w:ascii="Georgia" w:cs="Georgia" w:eastAsia="Georgia" w:hAnsi="Georgia"/>
                <w:b/>
                <w:bCs/>
                <w:color w:val="FFFFFF"/>
                <w:sz w:val="21"/>
                <w:szCs w:val="21"/>
              </w:rPr>
              <w:t xml:space="preserve">Closing: The Daily Examen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Advance to the Daily Examen slide. Distribute printed handout cards if you have them.</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I want to leave you with a practice to carry through all of Lent — two questions, asked each evening.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First: Where did I encounter suffering, loss, or darkness today — in myself or the world?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Second: Where did I glimpse resurrection — new life, unexpected grace, or stubborn hope?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You’re not trying to solve anything. You’re just noticing. Both questions. Every evening.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Hold 30 seconds of silence.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C9963A" w:sz="12"/>
              <w:bottom w:val="none" w:color="FFFFFF" w:sz="0"/>
              <w:right w:val="single" w:color="C9963A" w:sz="6"/>
            </w:tcBorders>
            <w:shd w:fill="FFF8E6" w:val="clear"/>
            <w:tcMar>
              <w:top w:type="dxa" w:w="50"/>
              <w:left w:type="dxa" w:w="100"/>
              <w:bottom w:type="dxa" w:w="50"/>
              <w:right w:type="dxa" w:w="60"/>
            </w:tcMar>
            <w:vAlign w:val="center"/>
          </w:tcPr>
          <w:p>
            <w:pPr>
              <w:spacing w:before="0" w:after="0"/>
              <w:jc w:val="center"/>
            </w:pPr>
            <w:r>
              <w:rPr>
                <w:rFonts w:ascii="Arial" w:cs="Arial" w:eastAsia="Arial" w:hAnsi="Arial"/>
                <w:b/>
                <w:bCs/>
                <w:color w:val="C9963A"/>
                <w:sz w:val="16"/>
                <w:szCs w:val="16"/>
              </w:rPr>
              <w:t xml:space="preserve">READ</w:t>
            </w:r>
            <w:r>
              <w:rPr>
                <w:rFonts w:ascii="Arial" w:cs="Arial" w:eastAsia="Arial" w:hAnsi="Arial"/>
                <w:b/>
                <w:bCs/>
                <w:color w:val="C9963A"/>
                <w:sz w:val="16"/>
                <w:szCs w:val="16"/>
              </w:rPr>
              <w:br/>
              <w:t xml:space="preserve">ALOUD</w:t>
            </w:r>
          </w:p>
        </w:tc>
        <w:tc>
          <w:tcPr>
            <w:tcW w:type="dxa" w:w="8060"/>
            <w:tcBorders>
              <w:top w:val="none" w:color="FFFFFF" w:sz="0"/>
              <w:left w:val="none" w:color="FFFFFF" w:sz="0"/>
              <w:bottom w:val="none" w:color="FFFFFF" w:sz="0"/>
              <w:right w:val="none" w:color="FFFFFF" w:sz="0"/>
            </w:tcBorders>
            <w:shd w:fill="FFF8E6" w:val="clear"/>
            <w:tcMar>
              <w:top w:type="dxa" w:w="40"/>
              <w:left w:type="dxa" w:w="100"/>
              <w:bottom w:type="dxa" w:w="40"/>
              <w:right w:type="dxa" w:w="60"/>
            </w:tcMar>
          </w:tcPr>
          <w:p>
            <w:pPr>
              <w:spacing w:before="0" w:after="0"/>
            </w:pPr>
            <w:r>
              <w:rPr>
                <w:rFonts w:ascii="Georgia" w:cs="Georgia" w:eastAsia="Georgia" w:hAnsi="Georgia"/>
                <w:i/>
                <w:iCs/>
                <w:color w:val="231340"/>
                <w:sz w:val="19"/>
                <w:szCs w:val="19"/>
              </w:rPr>
              <w:t xml:space="preserve">Lord, teach us to hold both — the grief that is real, and the hope that is also real. Guide us through this season as Easter people who do not look away. Amen.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single" w:color="5C3484" w:sz="12"/>
              <w:bottom w:val="none" w:color="FFFFFF" w:sz="0"/>
              <w:right w:val="single" w:color="5C3484" w:sz="6"/>
            </w:tcBorders>
            <w:shd w:fill="EDE7F6" w:val="clear"/>
            <w:tcMar>
              <w:top w:type="dxa" w:w="50"/>
              <w:left w:type="dxa" w:w="100"/>
              <w:bottom w:type="dxa" w:w="50"/>
              <w:right w:type="dxa" w:w="60"/>
            </w:tcMar>
            <w:vAlign w:val="center"/>
          </w:tcPr>
          <w:p>
            <w:pPr>
              <w:spacing w:before="0" w:after="0"/>
              <w:jc w:val="center"/>
            </w:pPr>
            <w:r>
              <w:rPr>
                <w:rFonts w:ascii="Arial" w:cs="Arial" w:eastAsia="Arial" w:hAnsi="Arial"/>
                <w:b/>
                <w:bCs/>
                <w:color w:val="5C3484"/>
                <w:sz w:val="14"/>
                <w:szCs w:val="14"/>
              </w:rPr>
              <w:t xml:space="preserve">DIRECTION</w:t>
            </w:r>
          </w:p>
        </w:tc>
        <w:tc>
          <w:tcPr>
            <w:tcW w:type="dxa" w:w="8060"/>
            <w:tcBorders>
              <w:top w:val="none" w:color="FFFFFF" w:sz="0"/>
              <w:left w:val="none" w:color="FFFFFF" w:sz="0"/>
              <w:bottom w:val="none" w:color="FFFFFF" w:sz="0"/>
              <w:right w:val="none" w:color="FFFFFF" w:sz="0"/>
            </w:tcBorders>
            <w:shd w:fill="EDE7F6" w:val="clear"/>
            <w:tcMar>
              <w:top w:type="dxa" w:w="40"/>
              <w:left w:type="dxa" w:w="100"/>
              <w:bottom w:type="dxa" w:w="40"/>
              <w:right w:type="dxa" w:w="60"/>
            </w:tcMar>
          </w:tcPr>
          <w:p>
            <w:pPr>
              <w:spacing w:before="0" w:after="0"/>
            </w:pPr>
            <w:r>
              <w:rPr>
                <w:rFonts w:ascii="Arial" w:cs="Arial" w:eastAsia="Arial" w:hAnsi="Arial"/>
                <w:b/>
                <w:bCs/>
                <w:color w:val="5C3484"/>
                <w:sz w:val="18"/>
                <w:szCs w:val="18"/>
              </w:rPr>
              <w:t xml:space="preserve">Offer the dismissal: “Let us go forth in the name of Christ.” // “Thanks be to God.”</w:t>
            </w:r>
          </w:p>
        </w:tc>
      </w:tr>
    </w:tbl>
    <w:p>
      <w:pPr>
        <w:spacing w:before="0" w:after="8"/>
      </w:pPr>
    </w:p>
    <w:p>
      <w:pPr>
        <w:pBdr>
          <w:bottom w:val="single" w:color="C9963A" w:sz="8" w:space="1"/>
        </w:pBdr>
        <w:spacing w:before="0" w:after="0"/>
      </w:pPr>
    </w:p>
    <w:p>
      <w:pPr>
        <w:spacing w:before="0" w:after="8"/>
      </w:pPr>
    </w:p>
    <w:p>
      <w:pPr>
        <w:spacing w:before="0" w:after="0"/>
        <w:jc w:val="center"/>
      </w:pPr>
      <w:r>
        <w:rPr>
          <w:rFonts w:ascii="Arial" w:cs="Arial" w:eastAsia="Arial" w:hAnsi="Arial"/>
          <w:i/>
          <w:iCs/>
          <w:color w:val="888888"/>
          <w:sz w:val="17"/>
          <w:szCs w:val="17"/>
        </w:rPr>
        <w:t xml:space="preserve">NRSV Scripture texts available in the Scripture Readings slides (slides 10–16).</w:t>
      </w:r>
    </w:p>
    <w:sectPr>
      <w:headerReference w:type="default" r:id="rId6"/>
      <w:footerReference w:type="default" r:id="rId7"/>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0E0" w:sz="4" w:space="1"/>
      </w:pBdr>
      <w:spacing w:before="0" w:after="40"/>
    </w:pPr>
  </w:p>
  <w:p>
    <w:pPr>
      <w:tabs>
        <w:tab w:val="right" w:pos="9026"/>
      </w:tabs>
      <w:spacing w:before="0" w:after="0"/>
    </w:pPr>
    <w:r>
      <w:rPr>
        <w:rFonts w:ascii="Arial" w:cs="Arial" w:eastAsia="Arial" w:hAnsi="Arial"/>
        <w:i/>
        <w:iCs/>
        <w:color w:val="888888"/>
        <w:sz w:val="16"/>
        <w:szCs w:val="16"/>
      </w:rPr>
      <w:t xml:space="preserve">Gold = Read Aloud   |   Purple = Direction</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24"/>
      <w:gridCol w:w="3000"/>
    </w:tblGrid>
    <w:tr>
      <w:tc>
        <w:tcPr>
          <w:tcW w:type="dxa" w:w="7224"/>
          <w:tcBorders>
            <w:top w:val="none" w:color="FFFFFF" w:sz="0"/>
            <w:left w:val="none" w:color="FFFFFF" w:sz="0"/>
            <w:bottom w:val="none" w:color="FFFFFF" w:sz="0"/>
            <w:right w:val="none" w:color="FFFFFF" w:sz="0"/>
          </w:tcBorders>
        </w:tcPr>
        <w:p>
          <w:pPr>
            <w:spacing w:before="0" w:after="0"/>
          </w:pPr>
          <w:r>
            <w:rPr>
              <w:rFonts w:ascii="Georgia" w:cs="Georgia" w:eastAsia="Georgia" w:hAnsi="Georgia"/>
              <w:b/>
              <w:bCs/>
              <w:color w:val="3B1F5E"/>
              <w:sz w:val="20"/>
              <w:szCs w:val="20"/>
            </w:rPr>
            <w:t xml:space="preserve">Easter People in a Good Friday World</w:t>
          </w:r>
          <w:r>
            <w:rPr>
              <w:rFonts w:ascii="Arial" w:cs="Arial" w:eastAsia="Arial" w:hAnsi="Arial"/>
              <w:color w:val="C9963A"/>
              <w:sz w:val="18"/>
              <w:szCs w:val="18"/>
            </w:rPr>
            <w:t xml:space="preserve">  |  Facilitator Guide</w:t>
          </w:r>
        </w:p>
      </w:tc>
      <w:tc>
        <w:tcPr>
          <w:tcW w:type="dxa" w:w="3000"/>
          <w:tcBorders>
            <w:top w:val="none" w:color="FFFFFF" w:sz="0"/>
            <w:left w:val="none" w:color="FFFFFF" w:sz="0"/>
            <w:bottom w:val="none" w:color="FFFFFF" w:sz="0"/>
            <w:right w:val="none" w:color="FFFFFF" w:sz="0"/>
          </w:tcBorders>
        </w:tcPr>
        <w:p>
          <w:pPr>
            <w:spacing w:before="0" w:after="0"/>
            <w:jc w:val="right"/>
          </w:pPr>
          <w:r>
            <w:rPr>
              <w:rFonts w:ascii="Arial" w:cs="Arial" w:eastAsia="Arial" w:hAnsi="Arial"/>
              <w:color w:val="888888"/>
              <w:sz w:val="17"/>
              <w:szCs w:val="17"/>
            </w:rPr>
            <w:t xml:space="preserve">Lenten Kickoff · 60 min</w:t>
          </w:r>
        </w:p>
      </w:tc>
    </w:tr>
  </w:tbl>
  <w:p>
    <w:pPr>
      <w:pBdr>
        <w:bottom w:val="single" w:color="C9963A" w:sz="6" w:space="1"/>
      </w:pBdr>
      <w:spacing w:before="4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34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2026-02-22T12:22:03.774Z</dcterms:created>
  <dcterms:modified xsi:type="dcterms:W3CDTF">2026-02-22T12:22:03.775Z</dcterms:modified>
</cp:coreProperties>
</file>

<file path=docProps/custom.xml><?xml version="1.0" encoding="utf-8"?>
<Properties xmlns="http://schemas.openxmlformats.org/officeDocument/2006/custom-properties" xmlns:vt="http://schemas.openxmlformats.org/officeDocument/2006/docPropsVTypes"/>
</file>