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ACD05D" w14:textId="00130300" w:rsidR="007F6443" w:rsidRDefault="0070714B">
      <w:r>
        <w:t>The Metaphysical basis</w:t>
      </w:r>
    </w:p>
    <w:p w14:paraId="7466D111" w14:textId="3C8EF801" w:rsidR="0070714B" w:rsidRPr="0070714B" w:rsidRDefault="0070714B">
      <w:r>
        <w:t xml:space="preserve">In his objections to Descartes’s </w:t>
      </w:r>
      <w:r>
        <w:rPr>
          <w:i/>
        </w:rPr>
        <w:t xml:space="preserve">Second Meditation </w:t>
      </w:r>
      <w:r>
        <w:t xml:space="preserve">Hobbes writes: “It is quite certain that the knowledge of the </w:t>
      </w:r>
      <w:r>
        <w:t>proposition ‘I exist’ depends on the proposition ‘I think’, as Descartes himself has explained to us. But where do we get our knowledge of the proposition ‘I think’ from? It can only be from our immediate awareness of some thinking, together with</w:t>
      </w:r>
      <w:r>
        <w:t xml:space="preserve"> </w:t>
      </w:r>
      <w:bookmarkStart w:id="0" w:name="_GoBack"/>
      <w:bookmarkEnd w:id="0"/>
      <w:r>
        <w:t>our inability to conceive an act without its subject—of jumping without a jumper, of knowing without a knower, or of thinking without a thinker.</w:t>
      </w:r>
    </w:p>
    <w:sectPr w:rsidR="0070714B" w:rsidRPr="00707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4B"/>
    <w:rsid w:val="0070714B"/>
    <w:rsid w:val="007F6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4730"/>
  <w15:chartTrackingRefBased/>
  <w15:docId w15:val="{CE170312-E248-469D-9670-1131794BD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heme="minorHAnsi" w:hAnsi="Courier New" w:cs="Courier New"/>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2018-10-11T14:57:00Z</dcterms:created>
  <dcterms:modified xsi:type="dcterms:W3CDTF">2018-10-11T15:39:00Z</dcterms:modified>
</cp:coreProperties>
</file>