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F315" w14:textId="1B0D132B" w:rsidR="00997042" w:rsidRDefault="00997042" w:rsidP="00997042">
      <w:r>
        <w:t>**Working controlling thesis** (the thing every section serves): *The original Axial Age engineered cognitive friction as a technology of human formation; the digital age engineers frictionless</w:t>
      </w:r>
      <w:r w:rsidR="008E5114">
        <w:t>-</w:t>
      </w:r>
      <w:r>
        <w:t>ness as a technology of human expropriation; we are at a hinge because the same instrument can be built either way — and the poly</w:t>
      </w:r>
      <w:r w:rsidR="00460AA0">
        <w:t>-</w:t>
      </w:r>
      <w:r>
        <w:t>crisis is what the wrong setting looks like at civilizational scale. Education is where this is seen undisguised.</w:t>
      </w:r>
    </w:p>
    <w:p w14:paraId="60879580" w14:textId="77777777" w:rsidR="00997042" w:rsidRDefault="00997042" w:rsidP="00997042">
      <w:r>
        <w:t>---</w:t>
      </w:r>
    </w:p>
    <w:p w14:paraId="48F3D727" w14:textId="77777777" w:rsidR="00997042" w:rsidRDefault="00997042" w:rsidP="00997042">
      <w:r>
        <w:t>## Opening movement — The essay against the essay</w:t>
      </w:r>
    </w:p>
    <w:p w14:paraId="6C75A2C7" w14:textId="2697F326" w:rsidR="00997042" w:rsidRDefault="00997042" w:rsidP="00997042">
      <w:r>
        <w:t>The rueful self-rebuke, struck once and spent: this artifact is the thing it arraigns — a case for dialogical formation, delivered as silent solitary reading. Then the triple segue:</w:t>
      </w:r>
    </w:p>
    <w:p w14:paraId="77F29710" w14:textId="77777777" w:rsidR="00997042" w:rsidRDefault="00997042" w:rsidP="00997042">
      <w:r>
        <w:t>- **to the contest's origin** — the Académie de Dijon, 1750, where Rousseau won an essay prize by arguing the arts and sciences had corrupted rather than improved us; the form has bitten the hand of progress before, and you stand in that lineage rather than discovering irony.</w:t>
      </w:r>
    </w:p>
    <w:p w14:paraId="309A3ADF" w14:textId="77777777" w:rsidR="00997042" w:rsidRDefault="00997042" w:rsidP="00997042">
      <w:r>
        <w:t>- **to the pedagogical framing of the Axial Age** — via Kant's *reading public*: the essay was not always a corpse. It was once the cutting edge of a *technology of formation*, the instrument that scaled reason across geographic and institutional distance. Naming it as a pedagogical technology is the hinge that lets you then see *every* Axial breakthrough as a pedagogical technology — and lets the whole essay proceed as a case study that begins at home, on the page in the reader's hands.</w:t>
      </w:r>
    </w:p>
    <w:p w14:paraId="246281DA" w14:textId="77777777" w:rsidR="00997042" w:rsidRDefault="00997042" w:rsidP="00997042">
      <w:r>
        <w:t>*Discipline note:* the irony propels, it does not detain — one paragraph, maybe a paragraph and a half, rueful not arch, then hand off to altitude.</w:t>
      </w:r>
    </w:p>
    <w:p w14:paraId="44B352E9" w14:textId="77777777" w:rsidR="00997042" w:rsidRDefault="00997042" w:rsidP="00997042">
      <w:r>
        <w:t>---</w:t>
      </w:r>
    </w:p>
    <w:p w14:paraId="128B57E1" w14:textId="77777777" w:rsidR="00997042" w:rsidRDefault="00997042" w:rsidP="00997042">
      <w:r>
        <w:t>## Part I — The Axial Age was a pedagogical revolution (Beat 1)</w:t>
      </w:r>
    </w:p>
    <w:p w14:paraId="399B1971" w14:textId="77777777" w:rsidR="00997042" w:rsidRDefault="00997042" w:rsidP="00997042">
      <w:r>
        <w:t>**Claim.** The lasting Axial invention was not only new metaphysics but new *technologies of mind-formation*. The metaphysical novelty and the pedagogical novelty were the *same event*: reflective interiority is not self-propagating, so the discovery of the examined self *required* the simultaneous invention of institutions to cultivate and transmit it.</w:t>
      </w:r>
    </w:p>
    <w:p w14:paraId="43680B73" w14:textId="77777777" w:rsidR="00997042" w:rsidRDefault="00997042" w:rsidP="00997042">
      <w:r>
        <w:t>**Case-study thread.** The essay-as-formation-technology (carried over from the opening) widens here to the full inventory: the pedagogies *were* the breakthrough.</w:t>
      </w:r>
    </w:p>
    <w:p w14:paraId="5D9847B9" w14:textId="77777777" w:rsidR="00997042" w:rsidRDefault="00997042" w:rsidP="00997042">
      <w:r>
        <w:t xml:space="preserve">**Support.** Jaspers (the freebie — plain prose). The crucial reframe is that friction was *engineered*: the elenchus is designed aporia, *chavruta* institutionalized disagreement, </w:t>
      </w:r>
      <w:r>
        <w:lastRenderedPageBreak/>
        <w:t>the koan manufactured dissonance. Not friction-as-such — friction deliberately built as cultivation. This is already a *pharmakon* tilted toward remedy, which seeds Part II.</w:t>
      </w:r>
    </w:p>
    <w:p w14:paraId="6583CB62" w14:textId="77777777" w:rsidR="00997042" w:rsidRDefault="00997042" w:rsidP="00997042">
      <w:r>
        <w:t>**Carryover** (from *Artificial Interlocutor*): the convergence catalogue — Socratic elenchus / Rabbinic *chavruta* + *machloket l'shem shamayim* / Nyāya *vāda* vs. *jalpa*/*vita</w:t>
      </w:r>
      <w:r>
        <w:rPr>
          <w:rFonts w:ascii="Calibri" w:hAnsi="Calibri" w:cs="Calibri"/>
        </w:rPr>
        <w:t>ṇḍ</w:t>
      </w:r>
      <w:r>
        <w:t>ā* / Confucian one-corner / Zen koan / Nahua *tlamatini* / Trickster + survivance / Akan proverbial dialectic / Ubuntu; the three duties (*lectio / disputatio / praedicatio*) and the claim that the modern university kept the least formative third and discarded the two that formed minds; Nalanda's gate and Takshashila's advancement-through-debate; the Pirkei Avot triad (teacher / book / friend) as the organizing structure, not just an epigraph.</w:t>
      </w:r>
    </w:p>
    <w:p w14:paraId="0631AAA6" w14:textId="77777777" w:rsidR="00997042" w:rsidRDefault="00997042" w:rsidP="00997042">
      <w:r>
        <w:t>---</w:t>
      </w:r>
    </w:p>
    <w:p w14:paraId="6B964F22" w14:textId="77777777" w:rsidR="00997042" w:rsidRDefault="00997042" w:rsidP="00997042">
      <w:r>
        <w:t>## Part II — The new Axial Age and its downward tilt (Beats 2, 3, 4)</w:t>
      </w:r>
    </w:p>
    <w:p w14:paraId="002374CA" w14:textId="77777777" w:rsidR="00997042" w:rsidRDefault="00997042" w:rsidP="00997042">
      <w:r>
        <w:t>**Claim (Beat 2 → 3).** Digital technologies — the Internet and now AI — are disruptive in the *cognitive* space at exactly the magnitude the Axial pedagogies were; therefore we are, by your own criterion, in a new Axial Age. But the axis tilts the wrong way: where the Axial technologies engineered friction toward formation, these engineer frictionlessness toward *expropriation*.</w:t>
      </w:r>
    </w:p>
    <w:p w14:paraId="2DF1B108" w14:textId="77777777" w:rsidR="00997042" w:rsidRDefault="00997042" w:rsidP="00997042">
      <w:r>
        <w:t>**Case-study thread — this is where pedagogy becomes the explicit diagnostic case.** Open in the hollowed classroom: the student who produces output without formation; the institutional panic over AI-written essays as a *confession* — we police the output because we long ago replaced the dialectical process with its corpse. The machine didn't break education; it *exposed* a rot that predated it. Education is the visible, undisguised edge of a disease that reaches everywhere — the student is the citizen caught at the moment of formation, where the stakes show plainest.</w:t>
      </w:r>
    </w:p>
    <w:p w14:paraId="13FEA2C6" w14:textId="77777777" w:rsidR="00997042" w:rsidRDefault="00997042" w:rsidP="00997042">
      <w:r>
        <w:t>**Support — the diagnosis, digested.** The *pharmakon*, named and attributed to Stiegler-via-Derrida, explained in plain prose (poison-and-cure; the only real question is the prescription). Then the mechanism of the loss, with the jargon burned off:</w:t>
      </w:r>
    </w:p>
    <w:p w14:paraId="5130A751" w14:textId="77777777" w:rsidR="00997042" w:rsidRDefault="00997042" w:rsidP="00997042">
      <w:r>
        <w:t>- *Frictionlessness as active expropriation, not passive absence* — the feed does the cognitive work *for* you and atrophies the faculty that work was building. Smoothing is *deskilling of the mind* (Stiegler's proletarianization, named once, then in English).</w:t>
      </w:r>
    </w:p>
    <w:p w14:paraId="528FA8B7" w14:textId="77777777" w:rsidR="00997042" w:rsidRDefault="00997042" w:rsidP="00997042">
      <w:r>
        <w:t>- *At-hand → on-demand* (your own concept, foreground it) — inheritance once absorbed by living (Heidegger's ready-to-hand, named perhaps once) becomes answers retrieved on demand. This is the precise hinge between the Axial loss and the digital condition.</w:t>
      </w:r>
    </w:p>
    <w:p w14:paraId="6C484999" w14:textId="77777777" w:rsidR="00997042" w:rsidRDefault="00997042" w:rsidP="00997042">
      <w:r>
        <w:lastRenderedPageBreak/>
        <w:t>- *The crisis of attestation* (Ricoeur — keep the term, gloss it once) — the confident "I can," the felt authority to stand behind one's own thought; proxy output has no attestation, only "the system can."</w:t>
      </w:r>
    </w:p>
    <w:p w14:paraId="2C3C599C" w14:textId="77777777" w:rsidR="00997042" w:rsidRDefault="00997042" w:rsidP="00997042">
      <w:r>
        <w:t>- *Mündigkeit surrendered* (Kant via Stiegler) — if the Axial Age was the conquest of interiority and the Enlightenment the conquest of public maturity, the digital age is the surrender of both.</w:t>
      </w:r>
    </w:p>
    <w:p w14:paraId="0ED0A74A" w14:textId="1A856B68" w:rsidR="00997042" w:rsidRDefault="00997042" w:rsidP="00997042">
      <w:r>
        <w:t>**Claim (Beat 4) — the polycrisis as disenchantment.** This is where the scale goes explicitly planetary. Frictionless cognition *is* disenchantment at the scale of the single mind: meaning delivered pre-digested stops being *yours*, stops being earned, becomes one more on-demand commodity. The macro face is Weber's disenchantment — and a civilization of frictionless minds *cannot will the hard, slow, meaning-bearing commitments its own survival requires*. That is the non-arbitrary bridge from your "polycrisis" to the prompt's "hinge of history."</w:t>
      </w:r>
    </w:p>
    <w:p w14:paraId="43A4DBE4" w14:textId="47750DC0" w:rsidR="00997042" w:rsidRDefault="00997042" w:rsidP="00997042">
      <w:r>
        <w:t>---</w:t>
      </w:r>
    </w:p>
    <w:p w14:paraId="26949CF6" w14:textId="77777777" w:rsidR="00997042" w:rsidRDefault="00997042" w:rsidP="00997042">
      <w:r>
        <w:t>## Part III — The *pharmakon* rethought as therapeutic (Beats 5, 6)</w:t>
      </w:r>
    </w:p>
    <w:p w14:paraId="7D598F14" w14:textId="094C9288" w:rsidR="00997042" w:rsidRDefault="00997042" w:rsidP="00997042">
      <w:r>
        <w:t>**Claim (Beat 5).** Stiegler's actual project was never denunciation but *therapeutics* — the patient work of arranging these instruments so they produce thought rather than stupidity, care rather than dependency. The poison can be prescribed toward the cure. (His *Re-enchanting the World* as the constructive horizon — the answer to the disenchantment of Part II.)</w:t>
      </w:r>
    </w:p>
    <w:p w14:paraId="0C1CA6CA" w14:textId="6153941D" w:rsidR="00997042" w:rsidRDefault="00997042" w:rsidP="00997042">
      <w:r>
        <w:t>**Claim (Beat 6) — the framework as the case study healing.** Not "here is my proposal" but "here, in the one domain we have watched sicken, is what the therapeutic concretely looks like." The framework's job in the *argument* is to prove the therapeutic is *buildable* — that "rethink the pharmakon as therapeutic" is a prescription, not a wish.</w:t>
      </w:r>
    </w:p>
    <w:p w14:paraId="4237570B" w14:textId="77777777" w:rsidR="00997042" w:rsidRDefault="00997042" w:rsidP="00997042">
      <w:r>
        <w:t>**Support — the two beams.**</w:t>
      </w:r>
    </w:p>
    <w:p w14:paraId="60131BA8" w14:textId="77777777" w:rsidR="00997042" w:rsidRDefault="00997042" w:rsidP="00997042">
      <w:r>
        <w:t>- *The misplaced panic, resolved.* The standardized essay was an Enlightenment solution to a scarcity-of-information problem we no longer have; the Ming *baguwen* is that same essay thirteen centuries early (keep the *keju* cautionary parallel — it's one of your sharpest strokes).</w:t>
      </w:r>
    </w:p>
    <w:p w14:paraId="505529B2" w14:textId="0786A447" w:rsidR="00997042" w:rsidRDefault="00997042" w:rsidP="00997042">
      <w:r>
        <w:t xml:space="preserve">- *Sophia / phronesis as the division of labor* (Aristotle, NE VI — named, then dramatized). This is how the framework *resolves the friend question*: the friend was always two functions wearing one face. The friend's *resistance* is sophia work — the machine does it better, tireless, at scale, and delegating it is the *appropriate* use of the pharmakon. The friend's *recognition* — that this resistance, now, applied to this person, is formative rather </w:t>
      </w:r>
      <w:r>
        <w:lastRenderedPageBreak/>
        <w:t>than crushing — is phronesis work, irreducibly human. The pharmakon doesn't replace the friend; it *splits* the friend, automates the half that was crushing the teacher, and gives back the half only a person can do. The friend is the human in the face of the artificial.</w:t>
      </w:r>
    </w:p>
    <w:p w14:paraId="5E629277" w14:textId="0E0A2480" w:rsidR="00997042" w:rsidRDefault="00997042" w:rsidP="00997042">
      <w:r>
        <w:t>**Carryover** (from *Artificial Interlocutor*, radically compressed — architecture *gestured at and illustrated*, never enumerated): the instrument as the thing that offloads friction to the machine and restores the human mentor; the three duties restored (*lectio / disputatio / praedicatio* — the two-thirds the university abandoned); the convergence-becomes-architecture claim (every tradition contributes a *distinct* cognitive operation — Akan analogy ≠ elenchus ≠ Trickster ≠ Ubuntu — so a new Axial pedagogy is not one tradition revived but the synthetic inheritance of all of them, now technically possible; Bayt al-Hikma as the precedent for *synthesis itself*). **Keep the vignettes** — Jordan/Descartes and David/brachial-plexus do in prose what the schema did in spec, and they're in the winning register; Professor Chen optional as the compressed third, and she is *also* the dramatization of the sophia/phronesis split ("his father is ill — don't raise the pressure"). The clinical warning stays: the instrument is for intellectual combat, not pastoral care; friction applied to a student in crisis is malpractice, not rigor — this humanizes the proposal and guards the phronesis boundary.</w:t>
      </w:r>
    </w:p>
    <w:p w14:paraId="5690C8D8" w14:textId="3A5918D6" w:rsidR="00997042" w:rsidRDefault="00997042" w:rsidP="00997042">
      <w:r>
        <w:t>**Cut entirely** (the pitch stratum): all five reader-sidebars; "UOS"/"University Operating System" as a product name (say "the instrument," "a dialectical architecture"); every market/moat/flywheel/willingness-to-pay phrase; "American global superiority"; the "call to institutions / who writes the first check / minimum viable deployment" close. (Preserve these in the *separate* investor version; no cross-reference here, not even in footnotes.)</w:t>
      </w:r>
    </w:p>
    <w:p w14:paraId="431714C9" w14:textId="20EC7C19" w:rsidR="00997042" w:rsidRDefault="00997042" w:rsidP="00997042">
      <w:r>
        <w:t>---</w:t>
      </w:r>
    </w:p>
    <w:p w14:paraId="7F3741AD" w14:textId="4ED8C0D0" w:rsidR="00997042" w:rsidRDefault="00997042" w:rsidP="00997042">
      <w:r>
        <w:t>## Part IV — The hinge (the generalization outward)</w:t>
      </w:r>
    </w:p>
    <w:p w14:paraId="688F8B32" w14:textId="6BF0A8AD" w:rsidR="00997042" w:rsidRDefault="00997042" w:rsidP="00997042">
      <w:r>
        <w:t>**Claim.** Out from the healed case to the disenchanted whole: if the therapeutic is buildable *here*, in the domain where formation is the explicit task, the same principle of prescription applies wherever the technics problem reaches — which is everywhere. Education was the case study; the lesson generalizes.</w:t>
      </w:r>
    </w:p>
    <w:p w14:paraId="65DBF100" w14:textId="77777777" w:rsidR="00997042" w:rsidRDefault="00997042" w:rsidP="00997042">
      <w:r>
        <w:t>**Support.**</w:t>
      </w:r>
    </w:p>
    <w:p w14:paraId="41B98629" w14:textId="77777777" w:rsidR="00997042" w:rsidRDefault="00997042" w:rsidP="00997042">
      <w:r>
        <w:t>- *Artifacts have politics* (Langdon Winner — demote to an aside/footnote, keep the force): a technology deployed without a governing philosophy encodes whoever built it last; "staying neutral" is choosing the attention economy's values by default. Keep the inevitability framing (*not whether but which*); strip the pitch language.</w:t>
      </w:r>
    </w:p>
    <w:p w14:paraId="4DB4ECFB" w14:textId="10DBAD35" w:rsidR="00997042" w:rsidRDefault="00997042" w:rsidP="00997042">
      <w:r>
        <w:lastRenderedPageBreak/>
        <w:t>- *The anti-dependency thesis as the climax of the argument* (your single strongest original idea): Silicon Valley builds for frictionless dependency; the therapeutic is built for the user's *departure from it* — Bjork's desirable difficulties as the cognitive grounding, Illich's convivial tools as the lineage (the first such instrument built on explicitly Illichian principles, optimized for the student's growing independence from every platform including itself). Tie back to attestation: the departure *is* the recovery of the "I can."</w:t>
      </w:r>
    </w:p>
    <w:p w14:paraId="30F42A8F" w14:textId="77777777" w:rsidR="00997042" w:rsidRDefault="00997042" w:rsidP="00997042">
      <w:r>
        <w:t>**The closing — the three-fold human as the hinge.** Three relationships to the machine, three fates for the human, mapped onto which faculty the design addresses:</w:t>
      </w:r>
    </w:p>
    <w:p w14:paraId="22116D78" w14:textId="77777777" w:rsidR="00997042" w:rsidRDefault="00997042" w:rsidP="00997042">
      <w:r>
        <w:t>- the AI that *substitutes* for thought → the hollowed human: the void where thought was — passive (the zombie) or captured wholesale by whatever fills the vacuum (the fanatic). The anti-Axial outcome: the interior self the Axial Age discovered, evacuated.</w:t>
      </w:r>
    </w:p>
    <w:p w14:paraId="11A14CF1" w14:textId="77777777" w:rsidR="00997042" w:rsidRDefault="00997042" w:rsidP="00997042">
      <w:r>
        <w:t>- the AI that *engages the appetites* → the human enslaved to want: the part of the soul every Axial tradition was built to *govern*.</w:t>
      </w:r>
    </w:p>
    <w:p w14:paraId="5EFA4FE6" w14:textId="3D6512A9" w:rsidR="00997042" w:rsidRDefault="00997042" w:rsidP="00997042">
      <w:r>
        <w:t>- the AI that *hones reason* → the formed human: interiority, judgment, the "I can." The Axial human.</w:t>
      </w:r>
    </w:p>
    <w:p w14:paraId="53161261" w14:textId="0B734797" w:rsidR="00997042" w:rsidRDefault="00997042" w:rsidP="00997042">
      <w:r>
        <w:t>End on the genuinely Axial question — *can a civilization deliberately rebuild, by artifice, the conditions of its own formation that it dissolved by artifice?* The pharmakon cuts both ways; the wager is that the choice is still ours. Close on the question, not the sale. (Optional final ring back to the opening: the inadequate instrument — the essay — was itself an attempt at exactly this rebuilding.</w:t>
      </w:r>
    </w:p>
    <w:p w14:paraId="78C07C0A" w14:textId="75C1D610" w:rsidR="00997042" w:rsidRDefault="00997042" w:rsidP="00997042">
      <w:r>
        <w:t>---</w:t>
      </w:r>
    </w:p>
    <w:p w14:paraId="0520A0AF" w14:textId="36A0F60C" w:rsidR="00997042" w:rsidRDefault="00997042" w:rsidP="00997042">
      <w:r>
        <w:t>## The thin connectors — where the drafting labor actually goes</w:t>
      </w:r>
    </w:p>
    <w:p w14:paraId="3A32F383" w14:textId="78D468BE" w:rsidR="00997042" w:rsidRDefault="00997042" w:rsidP="00997042">
      <w:r>
        <w:t>These are the joints that are currently weak or merely asserted; the essay's quality lives in getting them right, roughly in priority order:</w:t>
      </w:r>
    </w:p>
    <w:p w14:paraId="60E2122E" w14:textId="6C9A8B6D" w:rsidR="00997042" w:rsidRDefault="00997042" w:rsidP="00997042">
      <w:r>
        <w:t>1. **The categorical defense of the phronesis boundary** (Part III) — *the hill the essay stands or falls on.* You must answer the AI-optimist's "phronesis is just sophia you haven't finished automating." The defensible ground, in the essay's own vocabulary: recognition is *not a data-relation*. The teacher recognizes the student's confusion because the teacher *survived the same aporia* — it is biographical knowledge, a life metabolized, not information about a life. The machine can be *told* the father is ill (sophia); it cannot *know what it is* to push a grieving student, having never grieved. The boundary is categorical, not a temporary capability gap. If this paragraph reads as "the machine just needs more data," the spine snaps.</w:t>
      </w:r>
    </w:p>
    <w:p w14:paraId="5BE05536" w14:textId="77777777" w:rsidR="00997042" w:rsidRDefault="00997042" w:rsidP="00997042">
      <w:r>
        <w:lastRenderedPageBreak/>
        <w:t>2. **"The Axial breakthrough *was* a pedagogical breakthrough"** (Part I) — the reframe that makes this a Berggruen essay rather than a pedagogy paper. The argument that reflective interiority required a technology of transmission, so the metaphysical and pedagogical novelties were one event, is currently *implied* and needs to be *made*.</w:t>
      </w:r>
    </w:p>
    <w:p w14:paraId="6FD4C09E" w14:textId="3B9D131C" w:rsidR="00997042" w:rsidRDefault="00BA0BAE" w:rsidP="00997042">
      <w:r>
        <w:t>3</w:t>
      </w:r>
      <w:r w:rsidR="00997042">
        <w:t>. **The at-hand → on-demand hinge as the mechanism of Axial loss** (Part I → II) — your own concept, and the strongest available bridge between the two halves. Without it the historical and the digital sit side by side; with it they are one continuous argument.</w:t>
      </w:r>
    </w:p>
    <w:p w14:paraId="099ED6BB" w14:textId="2725308E" w:rsidR="00997042" w:rsidRDefault="00997042" w:rsidP="00997042">
      <w:r>
        <w:t>4. **The micro→macro disenchantment bridge** (Part II, Beat 4) — that frictionless cognition at the scale of the mind *is* disenchantment at the scale of the world, because meaning that arrives without friction does not *bind*, and an unbound civilization cannot will the slow hard things. This is what makes "polycrisis" non-arbitrary rather than a gesture.</w:t>
      </w:r>
    </w:p>
    <w:p w14:paraId="0292CBFB" w14:textId="63EE979F" w:rsidR="00997042" w:rsidRDefault="00997042" w:rsidP="00997042">
      <w:r>
        <w:t>5. **The diffusion objection, staged and answered** (Part I) — concede the contact (Hellenistic–Indian, the Baghdad synthesis), then rest the weight on the genuinely uncontacted cases (Mesoamerica) and on structural depth: the convergence is too distributed and too structural to be mere borrowing. Currently the defense is buried where it should be in the body.</w:t>
      </w:r>
    </w:p>
    <w:p w14:paraId="54A810EF" w14:textId="77777777" w:rsidR="00997042" w:rsidRDefault="00997042">
      <w:r>
        <w:t>6. **The named tension, confessed not hidden** (Part III/IV) — you are building half the friend from the technology you indict. Say so. The wager could fail: a system that let the machine creep across into the recognition work would be the banking model in a more seductive form — the friend abolished a second time. Naming your own strongest objection is what converts the piece from pitch to essay and earns the juror's trust.</w:t>
      </w:r>
    </w:p>
    <w:sectPr w:rsidR="00997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042"/>
    <w:rsid w:val="00317626"/>
    <w:rsid w:val="00440710"/>
    <w:rsid w:val="00460AA0"/>
    <w:rsid w:val="006A5334"/>
    <w:rsid w:val="008D43F9"/>
    <w:rsid w:val="008E5114"/>
    <w:rsid w:val="00997042"/>
    <w:rsid w:val="00B61EAC"/>
    <w:rsid w:val="00BA0BAE"/>
    <w:rsid w:val="00D30A5F"/>
    <w:rsid w:val="00EB483A"/>
    <w:rsid w:val="00F84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5550"/>
  <w15:chartTrackingRefBased/>
  <w15:docId w15:val="{0764CE10-F1A2-ED4C-AF49-18A06305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042"/>
    <w:rPr>
      <w:rFonts w:eastAsiaTheme="majorEastAsia" w:cstheme="majorBidi"/>
      <w:color w:val="272727" w:themeColor="text1" w:themeTint="D8"/>
    </w:rPr>
  </w:style>
  <w:style w:type="paragraph" w:styleId="Title">
    <w:name w:val="Title"/>
    <w:basedOn w:val="Normal"/>
    <w:next w:val="Normal"/>
    <w:link w:val="TitleChar"/>
    <w:uiPriority w:val="10"/>
    <w:qFormat/>
    <w:rsid w:val="0099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042"/>
    <w:pPr>
      <w:spacing w:before="160"/>
      <w:jc w:val="center"/>
    </w:pPr>
    <w:rPr>
      <w:i/>
      <w:iCs/>
      <w:color w:val="404040" w:themeColor="text1" w:themeTint="BF"/>
    </w:rPr>
  </w:style>
  <w:style w:type="character" w:customStyle="1" w:styleId="QuoteChar">
    <w:name w:val="Quote Char"/>
    <w:basedOn w:val="DefaultParagraphFont"/>
    <w:link w:val="Quote"/>
    <w:uiPriority w:val="29"/>
    <w:rsid w:val="00997042"/>
    <w:rPr>
      <w:i/>
      <w:iCs/>
      <w:color w:val="404040" w:themeColor="text1" w:themeTint="BF"/>
    </w:rPr>
  </w:style>
  <w:style w:type="paragraph" w:styleId="ListParagraph">
    <w:name w:val="List Paragraph"/>
    <w:basedOn w:val="Normal"/>
    <w:uiPriority w:val="34"/>
    <w:qFormat/>
    <w:rsid w:val="00997042"/>
    <w:pPr>
      <w:ind w:left="720"/>
      <w:contextualSpacing/>
    </w:pPr>
  </w:style>
  <w:style w:type="character" w:styleId="IntenseEmphasis">
    <w:name w:val="Intense Emphasis"/>
    <w:basedOn w:val="DefaultParagraphFont"/>
    <w:uiPriority w:val="21"/>
    <w:qFormat/>
    <w:rsid w:val="00997042"/>
    <w:rPr>
      <w:i/>
      <w:iCs/>
      <w:color w:val="0F4761" w:themeColor="accent1" w:themeShade="BF"/>
    </w:rPr>
  </w:style>
  <w:style w:type="paragraph" w:styleId="IntenseQuote">
    <w:name w:val="Intense Quote"/>
    <w:basedOn w:val="Normal"/>
    <w:next w:val="Normal"/>
    <w:link w:val="IntenseQuoteChar"/>
    <w:uiPriority w:val="30"/>
    <w:qFormat/>
    <w:rsid w:val="00997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042"/>
    <w:rPr>
      <w:i/>
      <w:iCs/>
      <w:color w:val="0F4761" w:themeColor="accent1" w:themeShade="BF"/>
    </w:rPr>
  </w:style>
  <w:style w:type="character" w:styleId="IntenseReference">
    <w:name w:val="Intense Reference"/>
    <w:basedOn w:val="DefaultParagraphFont"/>
    <w:uiPriority w:val="32"/>
    <w:qFormat/>
    <w:rsid w:val="00997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2188</Words>
  <Characters>12234</Characters>
  <Application>Microsoft Office Word</Application>
  <DocSecurity>0</DocSecurity>
  <Lines>188</Lines>
  <Paragraphs>61</Paragraphs>
  <ScaleCrop>false</ScaleCrop>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4</cp:revision>
  <dcterms:created xsi:type="dcterms:W3CDTF">2026-06-16T20:07:00Z</dcterms:created>
  <dcterms:modified xsi:type="dcterms:W3CDTF">2026-07-04T17:54:00Z</dcterms:modified>
</cp:coreProperties>
</file>