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j20xwxzr4j9" w:id="0"/>
      <w:bookmarkEnd w:id="0"/>
      <w:r w:rsidDel="00000000" w:rsidR="00000000" w:rsidRPr="00000000">
        <w:rPr>
          <w:b w:val="1"/>
          <w:bCs w:val="1"/>
          <w:sz w:val="46"/>
          <w:szCs w:val="46"/>
          <w:rtl w:val="0"/>
        </w:rPr>
        <w:t xml:space="preserve">Cybernetic Anamnesis: The Hermeneutics of Trust in the Digital Age</w:t>
      </w:r>
    </w:p>
    <w:p w:rsidR="00000000" w:rsidDel="00000000" w:rsidP="00000000" w:rsidRDefault="00000000" w:rsidRPr="00000000" w14:paraId="00000002">
      <w:pPr>
        <w:spacing w:after="240" w:before="240" w:lineRule="auto"/>
        <w:rPr/>
      </w:pPr>
      <w:r w:rsidDel="00000000" w:rsidR="00000000" w:rsidRPr="00000000">
        <w:rPr>
          <w:rtl w:val="0"/>
        </w:rPr>
        <w:t xml:space="preserve">What more paradigmatic example of Ricoeur's "unsettling spectacle offered by an excess of memory here, and an excess of forgetting elsewhere" (2004: xv) could there be than our contemporary informational landscape? This paper argues that at the heart of our polycrisis lies a fundamental breakdown of what Ricoeur identifies as the "threefold frame [that] remains the secret of historical knowledge" (2004: 250)—documentary proof, causal/teleological explanation, and literary emplotment.</w:t>
      </w:r>
    </w:p>
    <w:p w:rsidR="00000000" w:rsidDel="00000000" w:rsidP="00000000" w:rsidRDefault="00000000" w:rsidRPr="00000000" w14:paraId="00000003">
      <w:pPr>
        <w:spacing w:after="240" w:before="240" w:lineRule="auto"/>
        <w:rPr/>
      </w:pPr>
      <w:r w:rsidDel="00000000" w:rsidR="00000000" w:rsidRPr="00000000">
        <w:rPr>
          <w:rtl w:val="0"/>
        </w:rPr>
        <w:t xml:space="preserve">Drawing on Bernard Stiegler's concept of tertiary retentions as the technical constitution of memory, I examine how digital technologies have disrupted the historian's traditional modes of representation. Where Ricoeur emphasizes the critical mediation between document, explanation, and narrative, our current information ecosystem presents us with manufactured documents (deepfakes, manipulated data), severed causal chains (algorithmic opacity, echo chambers), and fractured narratives (disinformation campaigns, ideological silos).</w:t>
      </w:r>
    </w:p>
    <w:p w:rsidR="00000000" w:rsidDel="00000000" w:rsidP="00000000" w:rsidRDefault="00000000" w:rsidRPr="00000000" w14:paraId="00000004">
      <w:pPr>
        <w:spacing w:after="240" w:before="240" w:lineRule="auto"/>
        <w:rPr/>
      </w:pPr>
      <w:r w:rsidDel="00000000" w:rsidR="00000000" w:rsidRPr="00000000">
        <w:rPr>
          <w:rtl w:val="0"/>
        </w:rPr>
        <w:t xml:space="preserve">Recent examples illuminate this crisis: the systematic purging of over 8,000 web pages from government databases in early 2025, including climate and health data (InsideClimate News, 2025), the reframing of geopolitical aggression through what researchers identify as Russia's "wide-reaching, high-volume, multichannel disinformation campaign" (Government of Canada, 2024), and the weaponization of collective memory through strategic forgetting. These phenomena reveal how digital tertiary retentions—our externalized technical memory—have become sites of contestation that undermine the very foundations of historical consciousness.</w:t>
      </w:r>
    </w:p>
    <w:p w:rsidR="00000000" w:rsidDel="00000000" w:rsidP="00000000" w:rsidRDefault="00000000" w:rsidRPr="00000000" w14:paraId="00000005">
      <w:pPr>
        <w:spacing w:after="240" w:before="240" w:lineRule="auto"/>
        <w:rPr/>
      </w:pPr>
      <w:r w:rsidDel="00000000" w:rsidR="00000000" w:rsidRPr="00000000">
        <w:rPr>
          <w:rtl w:val="0"/>
        </w:rPr>
        <w:t xml:space="preserve">This paper proposes that understanding our polycrisis requires recognizing how cybernetic systems of memory retention and retrieval have destabilized the hermeneutical conditions necessary for establishing trust in institutional knowledge. Only by attending to this technical constitution of memory can we begin to restore the interpretive frameworks essential for navigating our fractured informational landscape and rebuilding the foundations of democratic discourse.</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