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Cybernetic Anamnesis: the Hermeneutics of Trust in the Digital Age</w:t>
      </w:r>
    </w:p>
    <w:p w:rsidR="00000000" w:rsidDel="00000000" w:rsidP="00000000" w:rsidRDefault="00000000" w:rsidRPr="00000000" w14:paraId="00000002">
      <w:pPr>
        <w:rPr/>
      </w:pPr>
      <w:r w:rsidDel="00000000" w:rsidR="00000000" w:rsidRPr="00000000">
        <w:rPr>
          <w:rtl w:val="0"/>
        </w:rPr>
        <w:t xml:space="preserve">This paper seeks to examine the contemporary crises of trust, specifically concerning information veracity, by integrating Bernard Stiegler's concept of tertiary retentions with Paul Ricoeur's hermeneutics of collective memory and the archive. Stiegler posits that **tertiary retentions, or artificial, exteriorized memory supports, are fundamental to human individuation and collective identity**, shaping what is retained and transmitted across generations [1-3]. These technical systems inherently involve criteria for selection, making the "political question always this: what are society’s criteria for retention?"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pervasive nature of digital technologies, acting as new hypomnemata, has profoundly impacted these retentional mechanisms, giving rise to phenomena like "fake news," ideological echo chambers, disinformation, and misinformation. These are not merely informational failures but represent systematic manipulations of collective memory. As Ricoeur argues, "memory can be ideologized through the resources of the variations offered by the work of narrative configuration" [4]. This ideological capture manifests strikingly when "higher powers take over this emplotment and impose a canonical narrative by means of intimidation or seduction, fear or flattery. A devious form of forgetting is at work here, resulting from stripping the social actors of their original power to recount their actions themselves" [5].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Such abuses are evident in attempts to erase historical events through presidential pardons, reinterpret geopolitical conflicts (e.g., reframing Russia's invasion of Ukraine as Ukrainian aggression), or even alter the names of landmarks [5, 6]. Most critically, the wholesale purging of public information from government databases—ranging from weather and COVID data to removing "DEI" mentions and even scrubbing historical articles due to unrelated content—underscores a deliberate effort to control the collective past and present [4, 7]. This paper argues that understanding these practices requires a "critical-memory" approach [8] that acknowledges the pharmakon-like nature of the archive [9] and actively combats "commanded amnesia" [10] to foster trust in a fragmented digital landscape.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