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A291" w14:textId="77777777" w:rsidR="009F2F69" w:rsidRDefault="009F2F69" w:rsidP="009E59CA">
      <w:pPr>
        <w:pStyle w:val="Heading3"/>
      </w:pPr>
      <w:r w:rsidRPr="00700837">
        <w:t>I.</w:t>
      </w:r>
      <w:r>
        <w:t xml:space="preserve"> Of God the Father</w:t>
      </w:r>
    </w:p>
    <w:p w14:paraId="19B3806D" w14:textId="77777777" w:rsidR="009F2F69" w:rsidRDefault="009F2F69" w:rsidP="009E59CA">
      <w:pPr>
        <w:pStyle w:val="Style2"/>
      </w:pPr>
      <w:r>
        <w:t>We believe in one God, the Father, the Almighty, maker of heaven and earth, of all that is, seen and unseen.</w:t>
      </w:r>
    </w:p>
    <w:p w14:paraId="165290B8" w14:textId="77777777" w:rsidR="009F2F69" w:rsidRDefault="009F2F69" w:rsidP="009E59CA">
      <w:r>
        <w:t xml:space="preserve">The Greek fathers give us the vocabulary to distinguish </w:t>
      </w:r>
      <w:r>
        <w:rPr>
          <w:i/>
          <w:iCs/>
        </w:rPr>
        <w:t>theologia</w:t>
      </w:r>
      <w:r>
        <w:t xml:space="preserve">, G-d as G-d is in himself, from </w:t>
      </w:r>
      <w:r>
        <w:rPr>
          <w:i/>
          <w:iCs/>
        </w:rPr>
        <w:t>oikonomia</w:t>
      </w:r>
      <w:r>
        <w:t xml:space="preserve">, G-d as G-d is toward us, and the Creed keeps that distinction in its own word order. </w:t>
      </w:r>
      <w:r>
        <w:rPr>
          <w:i/>
          <w:iCs/>
        </w:rPr>
        <w:t>We believe in one God, the Father</w:t>
      </w:r>
      <w:r>
        <w:t xml:space="preserve"> is theology. Everything after it is economy. Almighty</w:t>
      </w:r>
      <w:r>
        <w:rPr>
          <w:rStyle w:val="FootnoteReference"/>
        </w:rPr>
        <w:footnoteReference w:id="1"/>
      </w:r>
      <w:r>
        <w:t xml:space="preserve"> requires something to hold; Maker requires something be made; Seen and Unseen requires something categorized. Those words would be empty if nothing had been fashioned.</w:t>
      </w:r>
    </w:p>
    <w:p w14:paraId="7886A261" w14:textId="77777777" w:rsidR="009F2F69" w:rsidRDefault="009F2F69" w:rsidP="009E59CA">
      <w:r>
        <w:t xml:space="preserve">One may argue that the word </w:t>
      </w:r>
      <w:r w:rsidRPr="009F68B0">
        <w:rPr>
          <w:i/>
          <w:iCs/>
        </w:rPr>
        <w:t>Father</w:t>
      </w:r>
      <w:r>
        <w:t xml:space="preserve"> is also inherently relational and therefore on the wrong side of the line, and, at first glance, that appears to be the case. But here the Creed is making a subtle claimo that affirms the “relation” yet keeps it </w:t>
      </w:r>
      <w:r>
        <w:rPr>
          <w:i/>
          <w:iCs/>
        </w:rPr>
        <w:t xml:space="preserve">theologia: </w:t>
      </w:r>
      <w:r w:rsidRPr="00A1312F">
        <w:t>the</w:t>
      </w:r>
      <w:r>
        <w:rPr>
          <w:i/>
          <w:iCs/>
        </w:rPr>
        <w:t xml:space="preserve"> </w:t>
      </w:r>
      <w:r>
        <w:t xml:space="preserve">Father as unoriginate absolute, as archetypal(footnote: Ephesians 3:14-15, every </w:t>
      </w:r>
      <w:r w:rsidRPr="00EE18E4">
        <w:rPr>
          <w:i/>
          <w:iCs/>
        </w:rPr>
        <w:t>πατριά</w:t>
      </w:r>
      <w:r>
        <w:rPr>
          <w:i/>
          <w:iCs/>
        </w:rPr>
        <w:t xml:space="preserve">, </w:t>
      </w:r>
      <w:r>
        <w:t>distributively).</w:t>
      </w:r>
    </w:p>
    <w:p w14:paraId="601064A3" w14:textId="77777777" w:rsidR="009F2F69" w:rsidRPr="00433C80" w:rsidRDefault="009F2F69" w:rsidP="009E59CA">
      <w:pPr>
        <w:jc w:val="center"/>
      </w:pPr>
      <w:r w:rsidRPr="00433C80">
        <w:rPr>
          <w:i/>
          <w:iCs/>
        </w:rPr>
        <w:t>We believe in one God</w:t>
      </w:r>
      <w:r>
        <w:rPr>
          <w:i/>
          <w:iCs/>
        </w:rPr>
        <w:t xml:space="preserve">, </w:t>
      </w:r>
      <w:r>
        <w:t>(I.1)</w:t>
      </w:r>
    </w:p>
    <w:p w14:paraId="6FF1B5BA" w14:textId="77777777" w:rsidR="009F2F69" w:rsidRDefault="009F2F69" w:rsidP="009E59CA">
      <w:r>
        <w:t>"One"</w:t>
      </w:r>
      <w:r>
        <w:rPr>
          <w:rStyle w:val="FootnoteReference"/>
        </w:rPr>
        <w:footnoteReference w:id="2"/>
      </w:r>
      <w:r>
        <w:t xml:space="preserve"> is not the exclusion of rival deities but of rival existents; as it is written, </w:t>
      </w:r>
      <w:r w:rsidRPr="0013003A">
        <w:rPr>
          <w:i/>
          <w:iCs/>
        </w:rPr>
        <w:t>look unto me and be ye saved, all the ends of the earth, for I am God and there is none else.</w:t>
      </w:r>
      <w:r>
        <w:rPr>
          <w:rStyle w:val="FootnoteReference"/>
          <w:i/>
          <w:iCs/>
        </w:rPr>
        <w:footnoteReference w:id="3"/>
      </w:r>
      <w:r w:rsidRPr="0013003A">
        <w:rPr>
          <w:i/>
          <w:iCs/>
        </w:rPr>
        <w:t xml:space="preserve"> </w:t>
      </w:r>
      <w:r>
        <w:t xml:space="preserve">"None else" is </w:t>
      </w:r>
      <w:r>
        <w:rPr>
          <w:i/>
          <w:iCs/>
        </w:rPr>
        <w:t>ein od</w:t>
      </w:r>
      <w:r>
        <w:t xml:space="preserve"> in the Hebrew, an ambiguity the text leaves open — no other god, or nothing further at all — and I read it the second way. There is no second thing, including the </w:t>
      </w:r>
      <w:r>
        <w:rPr>
          <w:i/>
          <w:iCs/>
        </w:rPr>
        <w:t>we</w:t>
      </w:r>
      <w:r>
        <w:t xml:space="preserve"> or the </w:t>
      </w:r>
      <w:r>
        <w:rPr>
          <w:i/>
          <w:iCs/>
        </w:rPr>
        <w:t>I</w:t>
      </w:r>
      <w:r>
        <w:t xml:space="preserve"> that is saying the Creed. Deuteronomy puts it more plainly still: </w:t>
      </w:r>
      <w:r>
        <w:rPr>
          <w:i/>
          <w:iCs/>
        </w:rPr>
        <w:t>ein od milvado</w:t>
      </w:r>
      <w:r>
        <w:t>, there is none besides him.</w:t>
      </w:r>
      <w:r>
        <w:rPr>
          <w:rStyle w:val="FootnoteReference"/>
        </w:rPr>
        <w:footnoteReference w:id="4"/>
      </w:r>
    </w:p>
    <w:p w14:paraId="26D58BB8" w14:textId="77777777" w:rsidR="009F2F69" w:rsidRDefault="009F2F69" w:rsidP="009E59CA">
      <w:r>
        <w:t xml:space="preserve">We should also say plainly the implication of what I have said already. If there is no second thing, then what I have described is a type of monism, and I do not dispute that. What it is </w:t>
      </w:r>
      <w:r>
        <w:lastRenderedPageBreak/>
        <w:t>not is pantheism, and the difference is not a technicality. Spinoza's God does not choose and could not have done otherwise.</w:t>
      </w:r>
      <w:r>
        <w:rPr>
          <w:rStyle w:val="FootnoteReference"/>
        </w:rPr>
        <w:footnoteReference w:id="5"/>
      </w:r>
      <w:r>
        <w:t xml:space="preserve"> Nothing here works that way. </w:t>
      </w:r>
    </w:p>
    <w:p w14:paraId="695DE1F1" w14:textId="77777777" w:rsidR="009F2F69" w:rsidRDefault="009F2F69" w:rsidP="009E59CA">
      <w:r>
        <w:t xml:space="preserve">The Kabbalists give the reason, and they give it a name. God is </w:t>
      </w:r>
      <w:r>
        <w:rPr>
          <w:i/>
          <w:iCs/>
        </w:rPr>
        <w:t>Ein Sof</w:t>
      </w:r>
      <w:r>
        <w:t>, without end — not the largest, greatest, best thing; not a thing at all. A limit would require an outside for the limit to face, and there is no outside. Nothing else exists because there is nowhere else to be.</w:t>
      </w:r>
    </w:p>
    <w:p w14:paraId="51B1BB0F" w14:textId="77777777" w:rsidR="009F2F69" w:rsidRPr="002E2406" w:rsidRDefault="009F2F69" w:rsidP="009E59CA">
      <w:pPr>
        <w:jc w:val="center"/>
      </w:pPr>
      <w:r>
        <w:rPr>
          <w:i/>
          <w:iCs/>
        </w:rPr>
        <w:t xml:space="preserve">the Father, </w:t>
      </w:r>
      <w:r>
        <w:t>(I.2)</w:t>
      </w:r>
    </w:p>
    <w:p w14:paraId="2A62067E" w14:textId="77777777" w:rsidR="009F2F69" w:rsidRDefault="009F2F69" w:rsidP="009E59CA">
      <w:r>
        <w:t xml:space="preserve">In God's self-reference, </w:t>
      </w:r>
      <w:r>
        <w:rPr>
          <w:i/>
          <w:iCs/>
        </w:rPr>
        <w:t>I AM</w:t>
      </w:r>
      <w:r>
        <w:t>,</w:t>
      </w:r>
      <w:r>
        <w:rPr>
          <w:rStyle w:val="FootnoteReference"/>
        </w:rPr>
        <w:footnoteReference w:id="6"/>
      </w:r>
      <w:r>
        <w:t xml:space="preserve"> the One is the "I" and the Father is the "AM": that anything is at all. He is </w:t>
      </w:r>
      <w:r>
        <w:rPr>
          <w:i/>
          <w:iCs/>
        </w:rPr>
        <w:t>prakāśa</w:t>
      </w:r>
      <w:r>
        <w:t xml:space="preserve"> in Sanskrit — radiant Being, traditionally figured as Divine Light. Light's visibility is not about brightness but contact, however there is nothing else, so the only thing this light can encounter is itself. Reflection is light meeting itself and returning at another angle. Refraction is light passing through itself and emerging prismatic. The Creed names both, in two clauses far apart: the Son is </w:t>
      </w:r>
      <w:r>
        <w:rPr>
          <w:i/>
          <w:iCs/>
        </w:rPr>
        <w:t>Light from Light</w:t>
      </w:r>
      <w:r>
        <w:t>, and the Spirit has spoken through the prophets.</w:t>
      </w:r>
    </w:p>
    <w:p w14:paraId="0D9FD3A9" w14:textId="77777777" w:rsidR="009F2F69" w:rsidRDefault="009F2F69" w:rsidP="009E59CA">
      <w:r>
        <w:t xml:space="preserve">Here we should slow down, because one light behaving in two ways is very close to a heresy called modalism: the belief that the Trinity is modes adopted and set aside by God for occasions. Two things keep my account from being that. Light does not reflect and then refract; it does both always and simultaneously (or at the speed of light). And the Son is not an adverb. He is the one who says </w:t>
      </w:r>
      <w:r>
        <w:rPr>
          <w:i/>
          <w:iCs/>
        </w:rPr>
        <w:t>I</w:t>
      </w:r>
      <w:r>
        <w:t xml:space="preserve"> without borrowing it, as we will see below.</w:t>
      </w:r>
    </w:p>
    <w:p w14:paraId="4787C399" w14:textId="77777777" w:rsidR="009F2F69" w:rsidRPr="003C51E9" w:rsidRDefault="009F2F69" w:rsidP="009E59CA">
      <w:pPr>
        <w:jc w:val="center"/>
      </w:pPr>
      <w:r>
        <w:rPr>
          <w:i/>
          <w:iCs/>
        </w:rPr>
        <w:t xml:space="preserve">the Almighty, </w:t>
      </w:r>
      <w:r>
        <w:t>(I.3)</w:t>
      </w:r>
    </w:p>
    <w:p w14:paraId="3E67B02E" w14:textId="77777777" w:rsidR="009F2F69" w:rsidRDefault="009F2F69" w:rsidP="009E59CA">
      <w:r>
        <w:t>"Almighty," is read as all-holding, already requires that the held be genuinely other than the holding, without requiring it to be a second existent — you can hold your own hand, and the distinction is real.</w:t>
      </w:r>
    </w:p>
    <w:p w14:paraId="2ADEA842" w14:textId="77777777" w:rsidR="009F2F69" w:rsidRPr="0037561E" w:rsidRDefault="009F2F69" w:rsidP="009E59CA">
      <w:pPr>
        <w:jc w:val="center"/>
      </w:pPr>
      <w:r>
        <w:rPr>
          <w:i/>
          <w:iCs/>
        </w:rPr>
        <w:t xml:space="preserve">maker of heaven and earth, </w:t>
      </w:r>
      <w:r>
        <w:t>(I.4)</w:t>
      </w:r>
    </w:p>
    <w:p w14:paraId="3AE9B3C2" w14:textId="77777777" w:rsidR="009F2F69" w:rsidRDefault="009F2F69" w:rsidP="009E59CA">
      <w:r>
        <w:t xml:space="preserve">Which does not mean what they refer to is lesser, on the contrary, it makes them </w:t>
      </w:r>
      <w:r>
        <w:rPr>
          <w:i/>
          <w:iCs/>
        </w:rPr>
        <w:t>svātantrya</w:t>
      </w:r>
      <w:r>
        <w:t xml:space="preserve"> — the Sanskrit for absolute freedom, the capacity to be otherwise without being diminished. It is the first thing the Creed says about God after saying that God is. This is </w:t>
      </w:r>
      <w:r>
        <w:lastRenderedPageBreak/>
        <w:t>also why I worship God, and why I think worship is not superfluous even for people who have the metaphysics and-or morals right without it.</w:t>
      </w:r>
    </w:p>
    <w:p w14:paraId="32A1F3C4" w14:textId="77777777" w:rsidR="009F2F69" w:rsidRDefault="009F2F69" w:rsidP="009E59CA">
      <w:r>
        <w:t xml:space="preserve">"Almighty" is the word most likely to be misheard. The Greek is </w:t>
      </w:r>
      <w:r>
        <w:rPr>
          <w:i/>
          <w:iCs/>
        </w:rPr>
        <w:t>pantokratōr</w:t>
      </w:r>
      <w:r>
        <w:t xml:space="preserve">, all-holding, as stated above. The Latin </w:t>
      </w:r>
      <w:r>
        <w:rPr>
          <w:i/>
          <w:iCs/>
        </w:rPr>
        <w:t>omnipotens</w:t>
      </w:r>
      <w:r>
        <w:t xml:space="preserve"> behind "almighty" is where most modern arguments about omnipotence come from. Once that is seen, the Kabbalistic account of creation, </w:t>
      </w:r>
      <w:r>
        <w:rPr>
          <w:i/>
          <w:iCs/>
        </w:rPr>
        <w:t>tzimtzum</w:t>
      </w:r>
      <w:r>
        <w:t>, starts being a reading of almightiness and the withdrawal is not a reduction of it. Making room is what an embrace does in order to hold.</w:t>
      </w:r>
      <w:r>
        <w:rPr>
          <w:rStyle w:val="FootnoteReference"/>
        </w:rPr>
        <w:footnoteReference w:id="7"/>
      </w:r>
    </w:p>
    <w:p w14:paraId="0A117B53" w14:textId="77777777" w:rsidR="009F2F69" w:rsidRPr="00630755" w:rsidRDefault="009F2F69" w:rsidP="009E59CA">
      <w:pPr>
        <w:jc w:val="center"/>
      </w:pPr>
      <w:r w:rsidRPr="00630755">
        <w:rPr>
          <w:i/>
          <w:iCs/>
        </w:rPr>
        <w:t>of all that is,</w:t>
      </w:r>
      <w:r>
        <w:rPr>
          <w:i/>
          <w:iCs/>
        </w:rPr>
        <w:t xml:space="preserve"> </w:t>
      </w:r>
      <w:r>
        <w:t>(I.5)</w:t>
      </w:r>
    </w:p>
    <w:p w14:paraId="5BB4DFD0" w14:textId="77777777" w:rsidR="009F2F69" w:rsidRDefault="009F2F69" w:rsidP="009E59CA">
      <w:r>
        <w:t>"Of all that is, seen and unseen" is doing more than filling out the list. It says both halves are made, which is the specific denial the clause was written for: no one gets to assign the visible world to a lesser maker and keep the invisible for the real God.</w:t>
      </w:r>
      <w:r>
        <w:rPr>
          <w:rStyle w:val="FootnoteReference"/>
        </w:rPr>
        <w:footnoteReference w:id="8"/>
      </w:r>
    </w:p>
    <w:p w14:paraId="44FB2566" w14:textId="77777777" w:rsidR="009F2F69" w:rsidRDefault="009F2F69" w:rsidP="009E59CA">
      <w:r>
        <w:t>Nothing else got in — no lesser craftsman, no flaw with an existence of its own, no obscuring substance requiring explanation. Whatever separates us from God is not a thing.</w:t>
      </w:r>
      <w:r>
        <w:rPr>
          <w:rStyle w:val="FootnoteReference"/>
        </w:rPr>
        <w:footnoteReference w:id="9"/>
      </w:r>
    </w:p>
    <w:p w14:paraId="71D6970A" w14:textId="77777777" w:rsidR="009F2F69" w:rsidRPr="007505EE" w:rsidRDefault="009F2F69" w:rsidP="009E59CA">
      <w:pPr>
        <w:jc w:val="center"/>
      </w:pPr>
      <w:r>
        <w:rPr>
          <w:i/>
          <w:iCs/>
        </w:rPr>
        <w:t xml:space="preserve">seen and unseen. </w:t>
      </w:r>
      <w:r>
        <w:t>(I.6)</w:t>
      </w:r>
    </w:p>
    <w:p w14:paraId="506D446E" w14:textId="77777777" w:rsidR="009F2F69" w:rsidRDefault="009F2F69" w:rsidP="009E59CA">
      <w:r>
        <w:t>And read alongside what precedes it, the phrase says something further. The unseen is not more divine than the seen. There is no ladder of subtlety with matter at the bottom, no hierarchy in which the closer a thing comes to being invisible the closer it comes to God. Both are shining, and the shining is the same.</w:t>
      </w:r>
    </w:p>
    <w:p w14:paraId="0AE71C16" w14:textId="77777777" w:rsidR="009F2F69" w:rsidRDefault="009F2F69" w:rsidP="009E59CA">
      <w:r>
        <w:t>Finitude is not demotion. The crumbs beneath the table are the same bread — participation at a lower place is not participation in something lesser. What makes a bounded life a fallen one is not the boundedness but the forgetting.</w:t>
      </w:r>
      <w:r>
        <w:rPr>
          <w:rStyle w:val="FootnoteReference"/>
        </w:rPr>
        <w:footnoteReference w:id="10"/>
      </w:r>
    </w:p>
    <w:p w14:paraId="113DC47C" w14:textId="77777777" w:rsidR="009F2F69" w:rsidRDefault="009F2F69"/>
    <w:sectPr w:rsidR="009F2F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D9021" w14:textId="77777777" w:rsidR="00547EC6" w:rsidRDefault="00547EC6" w:rsidP="009F2F69">
      <w:pPr>
        <w:spacing w:after="0" w:line="240" w:lineRule="auto"/>
      </w:pPr>
      <w:r>
        <w:separator/>
      </w:r>
    </w:p>
  </w:endnote>
  <w:endnote w:type="continuationSeparator" w:id="0">
    <w:p w14:paraId="4EFF1D35" w14:textId="77777777" w:rsidR="00547EC6" w:rsidRDefault="00547EC6" w:rsidP="009F2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16D24" w14:textId="77777777" w:rsidR="00547EC6" w:rsidRDefault="00547EC6" w:rsidP="009F2F69">
      <w:pPr>
        <w:spacing w:after="0" w:line="240" w:lineRule="auto"/>
      </w:pPr>
      <w:r>
        <w:separator/>
      </w:r>
    </w:p>
  </w:footnote>
  <w:footnote w:type="continuationSeparator" w:id="0">
    <w:p w14:paraId="6F2120F0" w14:textId="77777777" w:rsidR="00547EC6" w:rsidRDefault="00547EC6" w:rsidP="009F2F69">
      <w:pPr>
        <w:spacing w:after="0" w:line="240" w:lineRule="auto"/>
      </w:pPr>
      <w:r>
        <w:continuationSeparator/>
      </w:r>
    </w:p>
  </w:footnote>
  <w:footnote w:id="1">
    <w:p w14:paraId="5F2D2F96" w14:textId="77777777" w:rsidR="009F2F69" w:rsidRDefault="009F2F69" w:rsidP="00B8135B">
      <w:pPr>
        <w:spacing w:line="240" w:lineRule="auto"/>
      </w:pPr>
      <w:r>
        <w:rPr>
          <w:rStyle w:val="FootnoteReference"/>
        </w:rPr>
        <w:footnoteRef/>
      </w:r>
      <w:r>
        <w:rPr>
          <w:i/>
          <w:iCs/>
          <w:sz w:val="18"/>
          <w:szCs w:val="18"/>
        </w:rPr>
        <w:t>Almighty.</w:t>
      </w:r>
      <w:r>
        <w:rPr>
          <w:sz w:val="18"/>
          <w:szCs w:val="18"/>
        </w:rPr>
        <w:t xml:space="preserve"> The Greek is </w:t>
      </w:r>
      <w:r>
        <w:rPr>
          <w:i/>
          <w:iCs/>
          <w:sz w:val="18"/>
          <w:szCs w:val="18"/>
        </w:rPr>
        <w:t>pantokratōr</w:t>
      </w:r>
      <w:r>
        <w:rPr>
          <w:sz w:val="18"/>
          <w:szCs w:val="18"/>
        </w:rPr>
        <w:t xml:space="preserve">, all-holding, all-ruling, not all-capable. The Latin </w:t>
      </w:r>
      <w:r>
        <w:rPr>
          <w:i/>
          <w:iCs/>
          <w:sz w:val="18"/>
          <w:szCs w:val="18"/>
        </w:rPr>
        <w:t>omnipotens</w:t>
      </w:r>
      <w:r>
        <w:rPr>
          <w:sz w:val="18"/>
          <w:szCs w:val="18"/>
        </w:rPr>
        <w:t xml:space="preserve"> behind our English is where most modern arguments about omnipotence come from, and the drift happened at translation: </w:t>
      </w:r>
      <w:r>
        <w:rPr>
          <w:i/>
          <w:iCs/>
          <w:sz w:val="18"/>
          <w:szCs w:val="18"/>
        </w:rPr>
        <w:t>al-mihtig</w:t>
      </w:r>
      <w:r>
        <w:rPr>
          <w:sz w:val="18"/>
          <w:szCs w:val="18"/>
        </w:rPr>
        <w:t xml:space="preserve"> renders the Latin rather than the Greek, so the word reaches us at two removes from what it was chosen to say.</w:t>
      </w:r>
    </w:p>
  </w:footnote>
  <w:footnote w:id="2">
    <w:p w14:paraId="610C0614" w14:textId="77777777" w:rsidR="009F2F69" w:rsidRDefault="009F2F69" w:rsidP="00700837">
      <w:pPr>
        <w:spacing w:line="240" w:lineRule="auto"/>
      </w:pPr>
      <w:r>
        <w:rPr>
          <w:rStyle w:val="FootnoteReference"/>
        </w:rPr>
        <w:footnoteRef/>
      </w:r>
      <w:r>
        <w:rPr>
          <w:sz w:val="18"/>
          <w:szCs w:val="18"/>
        </w:rPr>
        <w:t>The Council's target was not pagan polytheism. Its live opponents were Marcion, who held two gods, and the Valentinians, whose scheme placed a lesser maker between God and the world. "One" as I read it — excluding rival existents rather than rival deities — is a larger claim than the clause was drafted to make, not a smaller one.</w:t>
      </w:r>
    </w:p>
  </w:footnote>
  <w:footnote w:id="3">
    <w:p w14:paraId="25521019" w14:textId="77777777" w:rsidR="009F2F69" w:rsidRDefault="009F2F69">
      <w:pPr>
        <w:pStyle w:val="FootnoteText"/>
      </w:pPr>
      <w:r>
        <w:rPr>
          <w:rStyle w:val="FootnoteReference"/>
        </w:rPr>
        <w:footnoteRef/>
      </w:r>
      <w:r>
        <w:t xml:space="preserve"> </w:t>
      </w:r>
      <w:r w:rsidRPr="00FD1042">
        <w:rPr>
          <w:rFonts w:ascii="Times New Roman" w:hAnsi="Times New Roman" w:cs="Times New Roman"/>
          <w:sz w:val="18"/>
          <w:szCs w:val="18"/>
        </w:rPr>
        <w:t>Isaiah 45:22</w:t>
      </w:r>
    </w:p>
  </w:footnote>
  <w:footnote w:id="4">
    <w:p w14:paraId="584058F6" w14:textId="77777777" w:rsidR="009F2F69" w:rsidRDefault="009F2F69" w:rsidP="00700837">
      <w:pPr>
        <w:spacing w:line="240" w:lineRule="auto"/>
      </w:pPr>
      <w:r>
        <w:rPr>
          <w:rStyle w:val="FootnoteReference"/>
        </w:rPr>
        <w:footnoteRef/>
      </w:r>
      <w:r>
        <w:rPr>
          <w:sz w:val="18"/>
          <w:szCs w:val="18"/>
        </w:rPr>
        <w:t xml:space="preserve"> </w:t>
      </w:r>
      <w:r>
        <w:rPr>
          <w:sz w:val="18"/>
          <w:szCs w:val="18"/>
        </w:rPr>
        <w:t>Deuteronomy 4:35.</w:t>
      </w:r>
    </w:p>
  </w:footnote>
  <w:footnote w:id="5">
    <w:p w14:paraId="37A1B2F4" w14:textId="77777777" w:rsidR="009F2F69" w:rsidRDefault="009F2F69" w:rsidP="002A42F6">
      <w:pPr>
        <w:spacing w:line="240" w:lineRule="auto"/>
      </w:pPr>
      <w:r>
        <w:rPr>
          <w:rStyle w:val="FootnoteReference"/>
        </w:rPr>
        <w:footnoteRef/>
      </w:r>
      <w:r>
        <w:rPr>
          <w:sz w:val="18"/>
          <w:szCs w:val="18"/>
        </w:rPr>
        <w:t xml:space="preserve">Spinoza identifies God with nature and has everything follow from the divine nature by necessity — </w:t>
      </w:r>
      <w:r>
        <w:rPr>
          <w:i/>
          <w:iCs/>
          <w:sz w:val="18"/>
          <w:szCs w:val="18"/>
        </w:rPr>
        <w:t>natura naturans</w:t>
      </w:r>
      <w:r>
        <w:rPr>
          <w:sz w:val="18"/>
          <w:szCs w:val="18"/>
        </w:rPr>
        <w:t xml:space="preserve"> and </w:t>
      </w:r>
      <w:r>
        <w:rPr>
          <w:i/>
          <w:iCs/>
          <w:sz w:val="18"/>
          <w:szCs w:val="18"/>
        </w:rPr>
        <w:t>natura naturata</w:t>
      </w:r>
      <w:r>
        <w:rPr>
          <w:sz w:val="18"/>
          <w:szCs w:val="18"/>
        </w:rPr>
        <w:t>, with no point at which anything could have been otherwise. It is a monism, and it is the one most often meant when pantheism is named. The disagreement here is not about whether there is one reality but about whether that reality chooses.</w:t>
      </w:r>
    </w:p>
  </w:footnote>
  <w:footnote w:id="6">
    <w:p w14:paraId="515B0F75" w14:textId="77777777" w:rsidR="009F2F69" w:rsidRDefault="009F2F69" w:rsidP="00700837">
      <w:pPr>
        <w:spacing w:line="240" w:lineRule="auto"/>
      </w:pPr>
      <w:r>
        <w:rPr>
          <w:rStyle w:val="FootnoteReference"/>
        </w:rPr>
        <w:footnoteRef/>
      </w:r>
      <w:r>
        <w:rPr>
          <w:sz w:val="18"/>
          <w:szCs w:val="18"/>
        </w:rPr>
        <w:t xml:space="preserve">Exodus 3:14. </w:t>
      </w:r>
      <w:r>
        <w:rPr>
          <w:i/>
          <w:iCs/>
          <w:sz w:val="18"/>
          <w:szCs w:val="18"/>
        </w:rPr>
        <w:t>Ehyeh asher ehyeh</w:t>
      </w:r>
      <w:r>
        <w:rPr>
          <w:sz w:val="18"/>
          <w:szCs w:val="18"/>
        </w:rPr>
        <w:t xml:space="preserve"> is imperfect in the Hebrew — I will be what I will be, or I am becoming what I am becoming — and the Greek fixed it as a static </w:t>
      </w:r>
      <w:r>
        <w:rPr>
          <w:i/>
          <w:iCs/>
          <w:sz w:val="18"/>
          <w:szCs w:val="18"/>
        </w:rPr>
        <w:t>egō eimi ho ōn</w:t>
      </w:r>
      <w:r>
        <w:rPr>
          <w:sz w:val="18"/>
          <w:szCs w:val="18"/>
        </w:rPr>
        <w:t>, I am the being. Given that this whole account is a pulse rather than a state, the untranslated Hebrew is on my side.</w:t>
      </w:r>
    </w:p>
  </w:footnote>
  <w:footnote w:id="7">
    <w:p w14:paraId="2D6CED06" w14:textId="77777777" w:rsidR="009F2F69" w:rsidRDefault="009F2F69" w:rsidP="00700837">
      <w:pPr>
        <w:spacing w:line="240" w:lineRule="auto"/>
      </w:pPr>
      <w:r>
        <w:rPr>
          <w:rStyle w:val="FootnoteReference"/>
        </w:rPr>
        <w:footnoteRef/>
      </w:r>
      <w:r>
        <w:rPr>
          <w:i/>
          <w:iCs/>
          <w:sz w:val="18"/>
          <w:szCs w:val="18"/>
        </w:rPr>
        <w:t>Tzimtzum</w:t>
      </w:r>
      <w:r>
        <w:rPr>
          <w:sz w:val="18"/>
          <w:szCs w:val="18"/>
        </w:rPr>
        <w:t xml:space="preserve">, the divine self-contraction of Lurianic Kabbalah: God withdraws to make room for what is not God, so that creation is an act of restraint rather than of expansion. Read against </w:t>
      </w:r>
      <w:r>
        <w:rPr>
          <w:i/>
          <w:iCs/>
          <w:sz w:val="18"/>
          <w:szCs w:val="18"/>
        </w:rPr>
        <w:t>omnipotens</w:t>
      </w:r>
      <w:r>
        <w:rPr>
          <w:sz w:val="18"/>
          <w:szCs w:val="18"/>
        </w:rPr>
        <w:t xml:space="preserve"> it looks like a diminishment of power. Read against </w:t>
      </w:r>
      <w:r>
        <w:rPr>
          <w:i/>
          <w:iCs/>
          <w:sz w:val="18"/>
          <w:szCs w:val="18"/>
        </w:rPr>
        <w:t>pantokratōr</w:t>
      </w:r>
      <w:r>
        <w:rPr>
          <w:sz w:val="18"/>
          <w:szCs w:val="18"/>
        </w:rPr>
        <w:t xml:space="preserve"> it is not, since making room is a form of holding rather than a subtraction from capacity.</w:t>
      </w:r>
    </w:p>
  </w:footnote>
  <w:footnote w:id="8">
    <w:p w14:paraId="46CDB9C6" w14:textId="77777777" w:rsidR="009F2F69" w:rsidRDefault="009F2F69" w:rsidP="00700837">
      <w:pPr>
        <w:spacing w:line="240" w:lineRule="auto"/>
      </w:pPr>
      <w:r>
        <w:rPr>
          <w:rStyle w:val="FootnoteReference"/>
        </w:rPr>
        <w:footnoteRef/>
      </w:r>
      <w:r>
        <w:rPr>
          <w:i/>
          <w:iCs/>
          <w:sz w:val="18"/>
          <w:szCs w:val="18"/>
        </w:rPr>
        <w:t>Seen and unseen.</w:t>
      </w:r>
      <w:r>
        <w:rPr>
          <w:sz w:val="18"/>
          <w:szCs w:val="18"/>
        </w:rPr>
        <w:t xml:space="preserve"> </w:t>
      </w:r>
      <w:r>
        <w:rPr>
          <w:i/>
          <w:iCs/>
          <w:sz w:val="18"/>
          <w:szCs w:val="18"/>
        </w:rPr>
        <w:t>Ta panta horata kai aorata.</w:t>
      </w:r>
      <w:r>
        <w:rPr>
          <w:sz w:val="18"/>
          <w:szCs w:val="18"/>
        </w:rPr>
        <w:t xml:space="preserve"> The pairing is anti-Gnostic in intent: it says both halves are made, so that no one may assign the visible world to a lesser maker and keep the invisible for the real God.</w:t>
      </w:r>
    </w:p>
  </w:footnote>
  <w:footnote w:id="9">
    <w:p w14:paraId="5D5CBC6A" w14:textId="77777777" w:rsidR="009F2F69" w:rsidRDefault="009F2F69" w:rsidP="00700837">
      <w:pPr>
        <w:spacing w:line="240" w:lineRule="auto"/>
      </w:pPr>
      <w:r>
        <w:rPr>
          <w:rStyle w:val="FootnoteReference"/>
        </w:rPr>
        <w:footnoteRef/>
      </w:r>
      <w:r>
        <w:rPr>
          <w:i/>
          <w:iCs/>
          <w:sz w:val="18"/>
          <w:szCs w:val="18"/>
        </w:rPr>
        <w:t>Maker.</w:t>
      </w:r>
      <w:r>
        <w:rPr>
          <w:sz w:val="18"/>
          <w:szCs w:val="18"/>
        </w:rPr>
        <w:t xml:space="preserve"> The Greek is </w:t>
      </w:r>
      <w:r>
        <w:rPr>
          <w:i/>
          <w:iCs/>
          <w:sz w:val="18"/>
          <w:szCs w:val="18"/>
        </w:rPr>
        <w:t>poiētēn</w:t>
      </w:r>
      <w:r>
        <w:rPr>
          <w:sz w:val="18"/>
          <w:szCs w:val="18"/>
        </w:rPr>
        <w:t xml:space="preserve">, the ordinary word for a maker or fashioner, and the word behind "poet." A producer makes a thing that then stands apart from him, finished, no longer requiring his attention; a fashioner shapes, and shaping does not obviously end. Nothing is made </w:t>
      </w:r>
      <w:r>
        <w:rPr>
          <w:i/>
          <w:iCs/>
          <w:sz w:val="18"/>
          <w:szCs w:val="18"/>
        </w:rPr>
        <w:t>from</w:t>
      </w:r>
      <w:r>
        <w:rPr>
          <w:sz w:val="18"/>
          <w:szCs w:val="18"/>
        </w:rPr>
        <w:t xml:space="preserve"> nothing in this clause: </w:t>
      </w:r>
      <w:r>
        <w:rPr>
          <w:i/>
          <w:iCs/>
          <w:sz w:val="18"/>
          <w:szCs w:val="18"/>
        </w:rPr>
        <w:t>creatio ex nihilo</w:t>
      </w:r>
      <w:r>
        <w:rPr>
          <w:sz w:val="18"/>
          <w:szCs w:val="18"/>
        </w:rPr>
        <w:t xml:space="preserve"> is not in the words but is the tradition's gloss on them. The Septuagint uses this same verb at Genesis 1:1 to render the Hebrew </w:t>
      </w:r>
      <w:r>
        <w:rPr>
          <w:i/>
          <w:iCs/>
          <w:sz w:val="18"/>
          <w:szCs w:val="18"/>
        </w:rPr>
        <w:t>bara</w:t>
      </w:r>
      <w:r>
        <w:rPr>
          <w:sz w:val="18"/>
          <w:szCs w:val="18"/>
        </w:rPr>
        <w:t xml:space="preserve"> — a verb used only ever of God, never of human making, a distinction the Greek does not carry. The flattening happened early.</w:t>
      </w:r>
    </w:p>
  </w:footnote>
  <w:footnote w:id="10">
    <w:p w14:paraId="49B52665" w14:textId="77777777" w:rsidR="009F2F69" w:rsidRDefault="009F2F69" w:rsidP="00700837">
      <w:pPr>
        <w:spacing w:line="240" w:lineRule="auto"/>
      </w:pPr>
      <w:r>
        <w:rPr>
          <w:rStyle w:val="FootnoteReference"/>
        </w:rPr>
        <w:footnoteRef/>
      </w:r>
      <w:r>
        <w:rPr>
          <w:sz w:val="18"/>
          <w:szCs w:val="18"/>
        </w:rPr>
        <w:t xml:space="preserve">Worth noticing that the Creed uses three different verbs and only one of them puts anything outside. The Son is </w:t>
      </w:r>
      <w:r>
        <w:rPr>
          <w:i/>
          <w:iCs/>
          <w:sz w:val="18"/>
          <w:szCs w:val="18"/>
        </w:rPr>
        <w:t>begotten</w:t>
      </w:r>
      <w:r>
        <w:rPr>
          <w:sz w:val="18"/>
          <w:szCs w:val="18"/>
        </w:rPr>
        <w:t xml:space="preserve">, and the whole force of "not made" at the next clause is that begetting yields the same nature. The Spirit </w:t>
      </w:r>
      <w:r>
        <w:rPr>
          <w:i/>
          <w:iCs/>
          <w:sz w:val="18"/>
          <w:szCs w:val="18"/>
        </w:rPr>
        <w:t>proceeds</w:t>
      </w:r>
      <w:r>
        <w:rPr>
          <w:sz w:val="18"/>
          <w:szCs w:val="18"/>
        </w:rPr>
        <w:t xml:space="preserve"> — flowing out, continuous, with no product at the end of it. And the world is fashioned: not begotten, and not manufactured either. The tradition wants an absolute wall between the first two and the third, and </w:t>
      </w:r>
      <w:r>
        <w:rPr>
          <w:i/>
          <w:iCs/>
          <w:sz w:val="18"/>
          <w:szCs w:val="18"/>
        </w:rPr>
        <w:t>begotten, not made</w:t>
      </w:r>
      <w:r>
        <w:rPr>
          <w:sz w:val="18"/>
          <w:szCs w:val="18"/>
        </w:rPr>
        <w:t xml:space="preserve"> exists to build it. But if the third verb is fashioning rather than producing, the wall is lower than the doctrine wants: fashioning is nearer to proceeding than producing is.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69"/>
    <w:rsid w:val="00547EC6"/>
    <w:rsid w:val="009F2F69"/>
    <w:rsid w:val="00EC2519"/>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50C790E3"/>
  <w15:chartTrackingRefBased/>
  <w15:docId w15:val="{2CD254A7-8972-374C-9AF6-8516F9DE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2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69"/>
    <w:rPr>
      <w:rFonts w:eastAsiaTheme="majorEastAsia" w:cstheme="majorBidi"/>
      <w:color w:val="272727" w:themeColor="text1" w:themeTint="D8"/>
    </w:rPr>
  </w:style>
  <w:style w:type="paragraph" w:styleId="Title">
    <w:name w:val="Title"/>
    <w:basedOn w:val="Normal"/>
    <w:next w:val="Normal"/>
    <w:link w:val="TitleChar"/>
    <w:uiPriority w:val="10"/>
    <w:qFormat/>
    <w:rsid w:val="009F2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69"/>
    <w:pPr>
      <w:spacing w:before="160"/>
      <w:jc w:val="center"/>
    </w:pPr>
    <w:rPr>
      <w:i/>
      <w:iCs/>
      <w:color w:val="404040" w:themeColor="text1" w:themeTint="BF"/>
    </w:rPr>
  </w:style>
  <w:style w:type="character" w:customStyle="1" w:styleId="QuoteChar">
    <w:name w:val="Quote Char"/>
    <w:basedOn w:val="DefaultParagraphFont"/>
    <w:link w:val="Quote"/>
    <w:uiPriority w:val="29"/>
    <w:rsid w:val="009F2F69"/>
    <w:rPr>
      <w:i/>
      <w:iCs/>
      <w:color w:val="404040" w:themeColor="text1" w:themeTint="BF"/>
    </w:rPr>
  </w:style>
  <w:style w:type="paragraph" w:styleId="ListParagraph">
    <w:name w:val="List Paragraph"/>
    <w:basedOn w:val="Normal"/>
    <w:uiPriority w:val="34"/>
    <w:qFormat/>
    <w:rsid w:val="009F2F69"/>
    <w:pPr>
      <w:ind w:left="720"/>
      <w:contextualSpacing/>
    </w:pPr>
  </w:style>
  <w:style w:type="character" w:styleId="IntenseEmphasis">
    <w:name w:val="Intense Emphasis"/>
    <w:basedOn w:val="DefaultParagraphFont"/>
    <w:uiPriority w:val="21"/>
    <w:qFormat/>
    <w:rsid w:val="009F2F69"/>
    <w:rPr>
      <w:i/>
      <w:iCs/>
      <w:color w:val="0F4761" w:themeColor="accent1" w:themeShade="BF"/>
    </w:rPr>
  </w:style>
  <w:style w:type="paragraph" w:styleId="IntenseQuote">
    <w:name w:val="Intense Quote"/>
    <w:basedOn w:val="Normal"/>
    <w:next w:val="Normal"/>
    <w:link w:val="IntenseQuoteChar"/>
    <w:uiPriority w:val="30"/>
    <w:qFormat/>
    <w:rsid w:val="009F2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F69"/>
    <w:rPr>
      <w:i/>
      <w:iCs/>
      <w:color w:val="0F4761" w:themeColor="accent1" w:themeShade="BF"/>
    </w:rPr>
  </w:style>
  <w:style w:type="character" w:styleId="IntenseReference">
    <w:name w:val="Intense Reference"/>
    <w:basedOn w:val="DefaultParagraphFont"/>
    <w:uiPriority w:val="32"/>
    <w:qFormat/>
    <w:rsid w:val="009F2F69"/>
    <w:rPr>
      <w:b/>
      <w:bCs/>
      <w:smallCaps/>
      <w:color w:val="0F4761" w:themeColor="accent1" w:themeShade="BF"/>
      <w:spacing w:val="5"/>
    </w:rPr>
  </w:style>
  <w:style w:type="character" w:styleId="FootnoteReference">
    <w:name w:val="footnote reference"/>
    <w:uiPriority w:val="99"/>
    <w:semiHidden/>
    <w:unhideWhenUsed/>
    <w:rsid w:val="009F2F69"/>
    <w:rPr>
      <w:vertAlign w:val="superscript"/>
    </w:rPr>
  </w:style>
  <w:style w:type="paragraph" w:styleId="FootnoteText">
    <w:name w:val="footnote text"/>
    <w:link w:val="FootnoteTextChar"/>
    <w:uiPriority w:val="99"/>
    <w:semiHidden/>
    <w:unhideWhenUsed/>
    <w:rsid w:val="009F2F69"/>
    <w:pPr>
      <w:spacing w:after="0" w:line="240" w:lineRule="auto"/>
    </w:pPr>
    <w:rPr>
      <w:rFonts w:ascii="Georgia" w:eastAsia="Georgia" w:hAnsi="Georgia" w:cs="Georgia"/>
      <w:kern w:val="0"/>
      <w:sz w:val="20"/>
      <w:szCs w:val="20"/>
      <w:lang w:val="en-US"/>
      <w14:ligatures w14:val="none"/>
    </w:rPr>
  </w:style>
  <w:style w:type="character" w:customStyle="1" w:styleId="FootnoteTextChar">
    <w:name w:val="Footnote Text Char"/>
    <w:basedOn w:val="DefaultParagraphFont"/>
    <w:link w:val="FootnoteText"/>
    <w:uiPriority w:val="99"/>
    <w:semiHidden/>
    <w:rsid w:val="009F2F69"/>
    <w:rPr>
      <w:rFonts w:ascii="Georgia" w:eastAsia="Georgia" w:hAnsi="Georgia" w:cs="Georgia"/>
      <w:kern w:val="0"/>
      <w:sz w:val="20"/>
      <w:szCs w:val="20"/>
      <w:lang w:val="en-US"/>
      <w14:ligatures w14:val="none"/>
    </w:rPr>
  </w:style>
  <w:style w:type="paragraph" w:customStyle="1" w:styleId="Style2">
    <w:name w:val="Style2"/>
    <w:basedOn w:val="Normal"/>
    <w:link w:val="Style2Char"/>
    <w:qFormat/>
    <w:rsid w:val="009F2F69"/>
    <w:pPr>
      <w:pBdr>
        <w:left w:val="single" w:sz="6" w:space="12" w:color="888888"/>
      </w:pBdr>
      <w:spacing w:before="120" w:after="240"/>
      <w:ind w:left="360" w:right="360"/>
    </w:pPr>
    <w:rPr>
      <w:rFonts w:ascii="Times New Roman" w:eastAsiaTheme="minorHAnsi" w:hAnsi="Times New Roman"/>
      <w:i/>
      <w:iCs/>
      <w:lang w:val="en-US"/>
    </w:rPr>
  </w:style>
  <w:style w:type="character" w:customStyle="1" w:styleId="Style2Char">
    <w:name w:val="Style2 Char"/>
    <w:basedOn w:val="DefaultParagraphFont"/>
    <w:link w:val="Style2"/>
    <w:rsid w:val="009F2F69"/>
    <w:rPr>
      <w:rFonts w:ascii="Times New Roman" w:eastAsiaTheme="minorHAnsi" w:hAnsi="Times New Roman"/>
      <w:i/>
      <w:i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2</cp:revision>
  <dcterms:created xsi:type="dcterms:W3CDTF">2026-09-14T02:58:00Z</dcterms:created>
  <dcterms:modified xsi:type="dcterms:W3CDTF">2026-09-14T02:58:00Z</dcterms:modified>
</cp:coreProperties>
</file>