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7FE32" w14:textId="77777777" w:rsidR="002B250D" w:rsidRPr="002B250D" w:rsidRDefault="002B250D" w:rsidP="002B250D">
      <w:pPr>
        <w:pStyle w:val="Title"/>
        <w:rPr>
          <w:rFonts w:eastAsia="Times New Roman"/>
        </w:rPr>
      </w:pPr>
      <w:r w:rsidRPr="002B250D">
        <w:rPr>
          <w:rFonts w:eastAsia="Times New Roman"/>
        </w:rPr>
        <w:t>What I Mean When I Say the Creed</w:t>
      </w:r>
    </w:p>
    <w:p w14:paraId="0B9FC9EA" w14:textId="77777777" w:rsidR="002B250D" w:rsidRPr="002B250D" w:rsidRDefault="002B250D" w:rsidP="002B250D">
      <w:pPr>
        <w:spacing w:line="276" w:lineRule="auto"/>
        <w:rPr>
          <w:rFonts w:eastAsia="Times New Roman" w:cs="Times New Roman"/>
          <w:color w:val="595959" w:themeColor="text1" w:themeTint="A6"/>
          <w:spacing w:val="15"/>
          <w:sz w:val="28"/>
          <w:szCs w:val="28"/>
        </w:rPr>
      </w:pPr>
      <w:r w:rsidRPr="002B250D">
        <w:rPr>
          <w:rFonts w:eastAsia="Times New Roman" w:cs="Times New Roman"/>
          <w:color w:val="595959" w:themeColor="text1" w:themeTint="A6"/>
          <w:spacing w:val="15"/>
          <w:sz w:val="28"/>
          <w:szCs w:val="28"/>
        </w:rPr>
        <w:t>A gloss on the Nicene Creed—1979 Book of Common Prayer, Rite II</w:t>
      </w:r>
    </w:p>
    <w:p w14:paraId="0C11D254" w14:textId="77777777" w:rsidR="002B250D" w:rsidRDefault="002B250D" w:rsidP="002B250D">
      <w:pPr>
        <w:spacing w:line="276" w:lineRule="auto"/>
        <w:rPr>
          <w:rFonts w:eastAsia="Aptos" w:cs="Times New Roman"/>
        </w:rPr>
      </w:pPr>
      <w:r w:rsidRPr="002B250D">
        <w:rPr>
          <w:rFonts w:eastAsia="Aptos" w:cs="Times New Roman"/>
        </w:rPr>
        <w:t>Stephen Williamson</w:t>
      </w:r>
    </w:p>
    <w:p w14:paraId="60062AB1" w14:textId="77777777" w:rsidR="002B250D" w:rsidRPr="002B250D" w:rsidRDefault="002B250D" w:rsidP="002B250D">
      <w:pPr>
        <w:spacing w:line="276" w:lineRule="auto"/>
        <w:rPr>
          <w:rFonts w:eastAsia="Aptos" w:cs="Times New Roman"/>
        </w:rPr>
      </w:pPr>
    </w:p>
    <w:p w14:paraId="592B55E9" w14:textId="77777777" w:rsidR="002B250D" w:rsidRDefault="00B73D9B" w:rsidP="002B250D">
      <w:pPr>
        <w:pStyle w:val="Quote"/>
      </w:pPr>
      <w:r>
        <w:t xml:space="preserve">And, to tell the greatness of the Holy One, Blessed be He, as a person stamps several coins with one seal, they are all </w:t>
      </w:r>
      <w:proofErr w:type="gramStart"/>
      <w:r>
        <w:t>similar to</w:t>
      </w:r>
      <w:proofErr w:type="gramEnd"/>
      <w:r>
        <w:t xml:space="preserve"> each other. But the supreme King of kings, the Holy One, Blessed be He, stamped all people with the seal of Adam, the first [man] and not one of them is </w:t>
      </w:r>
      <w:proofErr w:type="gramStart"/>
      <w:r>
        <w:t>similar to</w:t>
      </w:r>
      <w:proofErr w:type="gramEnd"/>
      <w:r>
        <w:t xml:space="preserve"> another. Therefore, </w:t>
      </w:r>
      <w:proofErr w:type="gramStart"/>
      <w:r>
        <w:t>each and every</w:t>
      </w:r>
      <w:proofErr w:type="gramEnd"/>
      <w:r>
        <w:t xml:space="preserve"> person is obligated to say: The world was created for me.</w:t>
      </w:r>
    </w:p>
    <w:p w14:paraId="42825C44" w14:textId="41C261B6" w:rsidR="00B73D9B" w:rsidRDefault="00B73D9B" w:rsidP="002B250D">
      <w:pPr>
        <w:pStyle w:val="Quote"/>
      </w:pPr>
      <w:r>
        <w:t>—</w:t>
      </w:r>
      <w:r w:rsidR="002B250D">
        <w:t xml:space="preserve">Talmud, </w:t>
      </w:r>
      <w:r>
        <w:t>Sanhedrin 37a</w:t>
      </w:r>
    </w:p>
    <w:p w14:paraId="1445CAA0" w14:textId="28F834B3" w:rsidR="002B250D" w:rsidRPr="002B250D" w:rsidRDefault="002B250D" w:rsidP="002B250D">
      <w:pPr>
        <w:pStyle w:val="Heading1"/>
      </w:pPr>
      <w:r>
        <w:t>Preface</w:t>
      </w:r>
    </w:p>
    <w:p w14:paraId="02718885" w14:textId="44D0ADFF" w:rsidR="002B250D" w:rsidRDefault="002B250D" w:rsidP="002B250D">
      <w:r w:rsidRPr="002B250D">
        <w:t xml:space="preserve">I say the Creed with true faith—and a </w:t>
      </w:r>
      <w:r w:rsidRPr="002B250D">
        <w:rPr>
          <w:i/>
          <w:iCs/>
        </w:rPr>
        <w:t>lot</w:t>
      </w:r>
      <w:r w:rsidRPr="002B250D">
        <w:t xml:space="preserve"> </w:t>
      </w:r>
      <w:r w:rsidRPr="002B250D">
        <w:rPr>
          <w:i/>
          <w:iCs/>
        </w:rPr>
        <w:t>of qualifications</w:t>
      </w:r>
      <w:r w:rsidRPr="002B250D">
        <w:t xml:space="preserve">. Some of them are rather, unusual; a few of them may even seem, at first glance, to lean close to positions the Church has </w:t>
      </w:r>
      <w:r>
        <w:t xml:space="preserve">historically </w:t>
      </w:r>
      <w:r w:rsidRPr="002B250D">
        <w:t>condemned as heretical</w:t>
      </w:r>
      <w:r>
        <w:t>.</w:t>
      </w:r>
      <w:r>
        <w:rPr>
          <w:rStyle w:val="FootnoteReference"/>
        </w:rPr>
        <w:footnoteReference w:id="1"/>
      </w:r>
      <w:r>
        <w:t xml:space="preserve"> </w:t>
      </w:r>
      <w:r w:rsidR="005F7F13">
        <w:t>It is these</w:t>
      </w:r>
      <w:r w:rsidRPr="002B250D">
        <w:t xml:space="preserve"> qualifications</w:t>
      </w:r>
      <w:r w:rsidR="005F7F13">
        <w:t>, or more precisely,</w:t>
      </w:r>
      <w:r w:rsidR="005F7F13" w:rsidRPr="005F7F13">
        <w:t xml:space="preserve"> the hard-earned meanings I have spent my life putting into these words when I </w:t>
      </w:r>
      <w:proofErr w:type="gramStart"/>
      <w:r w:rsidR="005F7F13" w:rsidRPr="005F7F13">
        <w:t>say</w:t>
      </w:r>
      <w:proofErr w:type="gramEnd"/>
      <w:r w:rsidR="005F7F13" w:rsidRPr="005F7F13">
        <w:t xml:space="preserve"> them</w:t>
      </w:r>
      <w:r w:rsidR="005F7F13">
        <w:t xml:space="preserve"> that</w:t>
      </w:r>
      <w:r w:rsidRPr="002B250D">
        <w:t xml:space="preserve"> will be our subject here.</w:t>
      </w:r>
    </w:p>
    <w:p w14:paraId="44211F66" w14:textId="77777777" w:rsidR="005F7F13" w:rsidRPr="005F7F13" w:rsidRDefault="005F7F13" w:rsidP="005F7F13">
      <w:r w:rsidRPr="005F7F13">
        <w:t xml:space="preserve">In other words, it is a </w:t>
      </w:r>
      <w:r w:rsidRPr="005F7F13">
        <w:rPr>
          <w:i/>
          <w:iCs/>
        </w:rPr>
        <w:t>gloss,</w:t>
      </w:r>
      <w:r w:rsidRPr="005F7F13">
        <w:rPr>
          <w:vertAlign w:val="superscript"/>
        </w:rPr>
        <w:footnoteReference w:id="2"/>
      </w:r>
      <w:r w:rsidRPr="005F7F13">
        <w:t xml:space="preserve"> a word originally meaning a brief notation in a manuscript explaining a term in a language the reader is not expected to know. Throughout history, however, glosses have migrated, becoming associated with the text they served and occasionally even </w:t>
      </w:r>
      <w:r w:rsidRPr="005F7F13">
        <w:rPr>
          <w:i/>
          <w:iCs/>
        </w:rPr>
        <w:t xml:space="preserve">confused </w:t>
      </w:r>
      <w:proofErr w:type="gramStart"/>
      <w:r w:rsidRPr="005F7F13">
        <w:rPr>
          <w:i/>
          <w:iCs/>
        </w:rPr>
        <w:t>for</w:t>
      </w:r>
      <w:proofErr w:type="gramEnd"/>
      <w:r w:rsidRPr="005F7F13">
        <w:rPr>
          <w:i/>
          <w:iCs/>
        </w:rPr>
        <w:t xml:space="preserve"> it</w:t>
      </w:r>
      <w:r w:rsidRPr="005F7F13">
        <w:t xml:space="preserve">, a fact I acknowledge here at the start. In legal terms </w:t>
      </w:r>
      <w:r w:rsidRPr="005F7F13">
        <w:rPr>
          <w:i/>
          <w:iCs/>
        </w:rPr>
        <w:t>gloss</w:t>
      </w:r>
      <w:r w:rsidRPr="005F7F13">
        <w:t xml:space="preserve"> means something specific as well: a judge's interpretation, not a report about what a statute says in the abstract, but a declaration of “how it works” in the language of its application. I intend both meanings here. </w:t>
      </w:r>
    </w:p>
    <w:p w14:paraId="051AB0C5" w14:textId="77777777" w:rsidR="005F7F13" w:rsidRPr="005F7F13" w:rsidRDefault="005F7F13" w:rsidP="005F7F13">
      <w:r w:rsidRPr="005F7F13">
        <w:t xml:space="preserve">I quote Scripture in several translations, but the Hebrew Bible mostly in JPS and the New Testament mostly as given in the lectionary, as these are the versions I encounter in my practice. For some verses, however, the King James version is so familiar it is hard for me to hear it any other way. Where the language is critical, I refer to the Hebrew or Greek and suggest the same to every reader. The method is to cite the text that the community that produced or preserves it used </w:t>
      </w:r>
      <w:r w:rsidRPr="005F7F13">
        <w:lastRenderedPageBreak/>
        <w:t xml:space="preserve">or uses. Where the New Testament cites the Hebrew Bible </w:t>
      </w:r>
      <w:r w:rsidRPr="005F7F13">
        <w:rPr>
          <w:i/>
          <w:iCs/>
        </w:rPr>
        <w:t>against</w:t>
      </w:r>
      <w:r w:rsidRPr="005F7F13">
        <w:t xml:space="preserve"> the Masoretic text the divergence is noted.</w:t>
      </w:r>
    </w:p>
    <w:p w14:paraId="6BFC15B5" w14:textId="77777777" w:rsidR="005F7F13" w:rsidRPr="005F7F13" w:rsidRDefault="005F7F13" w:rsidP="005F7F13">
      <w:r w:rsidRPr="005F7F13">
        <w:t xml:space="preserve">The Creed itself is a translation of a translation (of a translation!) and in some places the seams show. At times all that is required for my qualifications is a look at the pitfalls of the translation; other times, neither English, Latin, nor even Hebrew or Greek, can convey the nuance I am looking for and I will use Sanskrit. </w:t>
      </w:r>
    </w:p>
    <w:p w14:paraId="394F7981" w14:textId="77777777" w:rsidR="005F7F13" w:rsidRPr="002B250D" w:rsidRDefault="005F7F13" w:rsidP="002B250D"/>
    <w:sectPr w:rsidR="005F7F13" w:rsidRPr="002B250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5FCBF" w14:textId="77777777" w:rsidR="00FB1EF9" w:rsidRDefault="00FB1EF9" w:rsidP="002B250D">
      <w:pPr>
        <w:spacing w:after="0" w:line="240" w:lineRule="auto"/>
      </w:pPr>
      <w:r>
        <w:separator/>
      </w:r>
    </w:p>
  </w:endnote>
  <w:endnote w:type="continuationSeparator" w:id="0">
    <w:p w14:paraId="799475E2" w14:textId="77777777" w:rsidR="00FB1EF9" w:rsidRDefault="00FB1EF9" w:rsidP="002B25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5A6AD" w14:textId="77777777" w:rsidR="00FB1EF9" w:rsidRDefault="00FB1EF9" w:rsidP="002B250D">
      <w:pPr>
        <w:spacing w:after="0" w:line="240" w:lineRule="auto"/>
      </w:pPr>
      <w:r>
        <w:separator/>
      </w:r>
    </w:p>
  </w:footnote>
  <w:footnote w:type="continuationSeparator" w:id="0">
    <w:p w14:paraId="480EAB99" w14:textId="77777777" w:rsidR="00FB1EF9" w:rsidRDefault="00FB1EF9" w:rsidP="002B250D">
      <w:pPr>
        <w:spacing w:after="0" w:line="240" w:lineRule="auto"/>
      </w:pPr>
      <w:r>
        <w:continuationSeparator/>
      </w:r>
    </w:p>
  </w:footnote>
  <w:footnote w:id="1">
    <w:p w14:paraId="5464D7A5" w14:textId="595DF7CC" w:rsidR="002B250D" w:rsidRDefault="002B250D">
      <w:pPr>
        <w:pStyle w:val="FootnoteText"/>
      </w:pPr>
      <w:r>
        <w:rPr>
          <w:rStyle w:val="FootnoteReference"/>
        </w:rPr>
        <w:footnoteRef/>
      </w:r>
      <w:r>
        <w:t xml:space="preserve"> </w:t>
      </w:r>
      <w:r w:rsidRPr="005F7F13">
        <w:rPr>
          <w:sz w:val="18"/>
          <w:szCs w:val="18"/>
        </w:rPr>
        <w:t xml:space="preserve">Where that is the case, I will name the condemned position, </w:t>
      </w:r>
      <w:r w:rsidRPr="005F7F13">
        <w:rPr>
          <w:sz w:val="18"/>
          <w:szCs w:val="18"/>
        </w:rPr>
        <w:t>look at</w:t>
      </w:r>
      <w:r w:rsidRPr="005F7F13">
        <w:rPr>
          <w:sz w:val="18"/>
          <w:szCs w:val="18"/>
        </w:rPr>
        <w:t xml:space="preserve"> what it </w:t>
      </w:r>
      <w:proofErr w:type="gramStart"/>
      <w:r w:rsidRPr="005F7F13">
        <w:rPr>
          <w:i/>
          <w:iCs/>
          <w:sz w:val="18"/>
          <w:szCs w:val="18"/>
        </w:rPr>
        <w:t>actually</w:t>
      </w:r>
      <w:r w:rsidRPr="005F7F13">
        <w:rPr>
          <w:sz w:val="18"/>
          <w:szCs w:val="18"/>
        </w:rPr>
        <w:t xml:space="preserve"> holds</w:t>
      </w:r>
      <w:proofErr w:type="gramEnd"/>
      <w:r w:rsidRPr="005F7F13">
        <w:rPr>
          <w:sz w:val="18"/>
          <w:szCs w:val="18"/>
        </w:rPr>
        <w:t xml:space="preserve">, and state precisely </w:t>
      </w:r>
      <w:r w:rsidRPr="005F7F13">
        <w:rPr>
          <w:sz w:val="18"/>
          <w:szCs w:val="18"/>
        </w:rPr>
        <w:t>the proximity to</w:t>
      </w:r>
      <w:r w:rsidRPr="005F7F13">
        <w:rPr>
          <w:sz w:val="18"/>
          <w:szCs w:val="18"/>
        </w:rPr>
        <w:t xml:space="preserve"> the position taken here</w:t>
      </w:r>
      <w:r w:rsidRPr="005F7F13">
        <w:rPr>
          <w:sz w:val="18"/>
          <w:szCs w:val="18"/>
        </w:rPr>
        <w:t xml:space="preserve">. In most cases this </w:t>
      </w:r>
      <w:r w:rsidRPr="005F7F13">
        <w:rPr>
          <w:sz w:val="18"/>
          <w:szCs w:val="18"/>
        </w:rPr>
        <w:t>proximity is not accidental and must be addressed. The positions the Church has condemned are, with few exceptions, serious attempts to address real difficulties. Arius on the unity of God, Apollinaris on the unity of Christ, Origen on the reach of divine goodness; each break at a specific point, and the cracks are instructive. Anyone who takes the same difficulties seriously will find themselves standing in roughly the same place.</w:t>
      </w:r>
    </w:p>
  </w:footnote>
  <w:footnote w:id="2">
    <w:p w14:paraId="45BE564F" w14:textId="77777777" w:rsidR="005F7F13" w:rsidRDefault="005F7F13" w:rsidP="005F7F13">
      <w:pPr>
        <w:spacing w:line="240" w:lineRule="auto"/>
      </w:pPr>
      <w:r>
        <w:rPr>
          <w:rStyle w:val="FootnoteReference"/>
          <w:rFonts w:cs="Times New Roman"/>
        </w:rPr>
        <w:footnoteRef/>
      </w:r>
      <w:r>
        <w:rPr>
          <w:rFonts w:cs="Times New Roman"/>
          <w:sz w:val="18"/>
          <w:szCs w:val="18"/>
        </w:rPr>
        <w:t xml:space="preserve">Greek </w:t>
      </w:r>
      <w:proofErr w:type="spellStart"/>
      <w:r>
        <w:rPr>
          <w:rFonts w:cs="Times New Roman"/>
          <w:i/>
          <w:iCs/>
          <w:sz w:val="18"/>
          <w:szCs w:val="18"/>
        </w:rPr>
        <w:t>glōssa</w:t>
      </w:r>
      <w:proofErr w:type="spellEnd"/>
      <w:r>
        <w:rPr>
          <w:rFonts w:cs="Times New Roman"/>
          <w:sz w:val="18"/>
          <w:szCs w:val="18"/>
        </w:rPr>
        <w:t xml:space="preserve">, tongue or language; in the grammatical tradition running from Aristotle onward, a </w:t>
      </w:r>
      <w:proofErr w:type="spellStart"/>
      <w:r>
        <w:rPr>
          <w:rFonts w:cs="Times New Roman"/>
          <w:i/>
          <w:iCs/>
          <w:sz w:val="18"/>
          <w:szCs w:val="18"/>
        </w:rPr>
        <w:t>glōssa</w:t>
      </w:r>
      <w:proofErr w:type="spellEnd"/>
      <w:r>
        <w:rPr>
          <w:rFonts w:cs="Times New Roman"/>
          <w:sz w:val="18"/>
          <w:szCs w:val="18"/>
        </w:rPr>
        <w:t xml:space="preserve"> is specifically an obscure or foreign word requiring explanation, and a glossary collects them. The Latin </w:t>
      </w:r>
      <w:r>
        <w:rPr>
          <w:rFonts w:cs="Times New Roman"/>
          <w:i/>
          <w:iCs/>
          <w:sz w:val="18"/>
          <w:szCs w:val="18"/>
        </w:rPr>
        <w:t>glossa</w:t>
      </w:r>
      <w:r>
        <w:rPr>
          <w:rFonts w:cs="Times New Roman"/>
          <w:sz w:val="18"/>
          <w:szCs w:val="18"/>
        </w:rPr>
        <w:t xml:space="preserve"> and the medieval </w:t>
      </w:r>
      <w:r>
        <w:rPr>
          <w:rFonts w:cs="Times New Roman"/>
          <w:i/>
          <w:iCs/>
          <w:sz w:val="18"/>
          <w:szCs w:val="18"/>
        </w:rPr>
        <w:t xml:space="preserve">glossa </w:t>
      </w:r>
      <w:proofErr w:type="spellStart"/>
      <w:r>
        <w:rPr>
          <w:rFonts w:cs="Times New Roman"/>
          <w:i/>
          <w:iCs/>
          <w:sz w:val="18"/>
          <w:szCs w:val="18"/>
        </w:rPr>
        <w:t>ordinaria</w:t>
      </w:r>
      <w:proofErr w:type="spellEnd"/>
      <w:r>
        <w:rPr>
          <w:rFonts w:cs="Times New Roman"/>
          <w:sz w:val="18"/>
          <w:szCs w:val="18"/>
        </w:rPr>
        <w:t xml:space="preserve"> — the marginal and interlinear commentary surrounding a biblical or legal text — carry the sense into English.</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D9B"/>
    <w:rsid w:val="001069D6"/>
    <w:rsid w:val="002B250D"/>
    <w:rsid w:val="00316163"/>
    <w:rsid w:val="003847C0"/>
    <w:rsid w:val="004C1904"/>
    <w:rsid w:val="005F7F13"/>
    <w:rsid w:val="00912024"/>
    <w:rsid w:val="00B73D9B"/>
    <w:rsid w:val="00FB1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CDBE8"/>
  <w15:chartTrackingRefBased/>
  <w15:docId w15:val="{719D7F9B-3558-431D-8CF8-A2D308147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D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D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D9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D9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73D9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73D9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73D9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73D9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73D9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316163"/>
  </w:style>
  <w:style w:type="character" w:customStyle="1" w:styleId="Style1Char">
    <w:name w:val="Style1 Char"/>
    <w:basedOn w:val="DefaultParagraphFont"/>
    <w:link w:val="Style1"/>
    <w:rsid w:val="00316163"/>
    <w:rPr>
      <w:rFonts w:ascii="Times New Roman" w:hAnsi="Times New Roman"/>
    </w:rPr>
  </w:style>
  <w:style w:type="character" w:customStyle="1" w:styleId="Heading1Char">
    <w:name w:val="Heading 1 Char"/>
    <w:basedOn w:val="DefaultParagraphFont"/>
    <w:link w:val="Heading1"/>
    <w:uiPriority w:val="9"/>
    <w:rsid w:val="00B73D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D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D9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D9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73D9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73D9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73D9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73D9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73D9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73D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D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D9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D9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73D9B"/>
    <w:pPr>
      <w:spacing w:before="160"/>
      <w:jc w:val="center"/>
    </w:pPr>
    <w:rPr>
      <w:i/>
      <w:iCs/>
      <w:color w:val="404040" w:themeColor="text1" w:themeTint="BF"/>
    </w:rPr>
  </w:style>
  <w:style w:type="character" w:customStyle="1" w:styleId="QuoteChar">
    <w:name w:val="Quote Char"/>
    <w:basedOn w:val="DefaultParagraphFont"/>
    <w:link w:val="Quote"/>
    <w:uiPriority w:val="29"/>
    <w:rsid w:val="00B73D9B"/>
    <w:rPr>
      <w:i/>
      <w:iCs/>
      <w:color w:val="404040" w:themeColor="text1" w:themeTint="BF"/>
    </w:rPr>
  </w:style>
  <w:style w:type="paragraph" w:styleId="ListParagraph">
    <w:name w:val="List Paragraph"/>
    <w:basedOn w:val="Normal"/>
    <w:uiPriority w:val="34"/>
    <w:qFormat/>
    <w:rsid w:val="00B73D9B"/>
    <w:pPr>
      <w:ind w:left="720"/>
      <w:contextualSpacing/>
    </w:pPr>
  </w:style>
  <w:style w:type="character" w:styleId="IntenseEmphasis">
    <w:name w:val="Intense Emphasis"/>
    <w:basedOn w:val="DefaultParagraphFont"/>
    <w:uiPriority w:val="21"/>
    <w:qFormat/>
    <w:rsid w:val="00B73D9B"/>
    <w:rPr>
      <w:i/>
      <w:iCs/>
      <w:color w:val="0F4761" w:themeColor="accent1" w:themeShade="BF"/>
    </w:rPr>
  </w:style>
  <w:style w:type="paragraph" w:styleId="IntenseQuote">
    <w:name w:val="Intense Quote"/>
    <w:basedOn w:val="Normal"/>
    <w:next w:val="Normal"/>
    <w:link w:val="IntenseQuoteChar"/>
    <w:uiPriority w:val="30"/>
    <w:qFormat/>
    <w:rsid w:val="00B73D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D9B"/>
    <w:rPr>
      <w:i/>
      <w:iCs/>
      <w:color w:val="0F4761" w:themeColor="accent1" w:themeShade="BF"/>
    </w:rPr>
  </w:style>
  <w:style w:type="character" w:styleId="IntenseReference">
    <w:name w:val="Intense Reference"/>
    <w:basedOn w:val="DefaultParagraphFont"/>
    <w:uiPriority w:val="32"/>
    <w:qFormat/>
    <w:rsid w:val="00B73D9B"/>
    <w:rPr>
      <w:b/>
      <w:bCs/>
      <w:smallCaps/>
      <w:color w:val="0F4761" w:themeColor="accent1" w:themeShade="BF"/>
      <w:spacing w:val="5"/>
    </w:rPr>
  </w:style>
  <w:style w:type="paragraph" w:styleId="FootnoteText">
    <w:name w:val="footnote text"/>
    <w:basedOn w:val="Normal"/>
    <w:link w:val="FootnoteTextChar"/>
    <w:uiPriority w:val="99"/>
    <w:semiHidden/>
    <w:unhideWhenUsed/>
    <w:rsid w:val="002B250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B250D"/>
    <w:rPr>
      <w:sz w:val="20"/>
      <w:szCs w:val="20"/>
    </w:rPr>
  </w:style>
  <w:style w:type="character" w:styleId="FootnoteReference">
    <w:name w:val="footnote reference"/>
    <w:basedOn w:val="DefaultParagraphFont"/>
    <w:uiPriority w:val="99"/>
    <w:semiHidden/>
    <w:unhideWhenUsed/>
    <w:rsid w:val="002B250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A756E1-F7F7-480E-8ABC-1FA79016A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361</Words>
  <Characters>2060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Williamson</dc:creator>
  <cp:keywords/>
  <dc:description/>
  <cp:lastModifiedBy>Stephen Williamson</cp:lastModifiedBy>
  <cp:revision>1</cp:revision>
  <dcterms:created xsi:type="dcterms:W3CDTF">2026-09-17T16:53:00Z</dcterms:created>
  <dcterms:modified xsi:type="dcterms:W3CDTF">2026-09-17T17:21:00Z</dcterms:modified>
</cp:coreProperties>
</file>