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1314" w14:textId="77777777" w:rsidR="00FE4E2A" w:rsidRPr="00636C3E" w:rsidRDefault="00FE4E2A" w:rsidP="00FE4E2A">
      <w:pPr>
        <w:spacing w:after="160"/>
        <w:jc w:val="center"/>
        <w:rPr>
          <w:rFonts w:ascii="Times New Roman" w:hAnsi="Times New Roman" w:cs="Times New Roman"/>
        </w:rPr>
      </w:pPr>
      <w:r w:rsidRPr="00636C3E">
        <w:rPr>
          <w:rFonts w:ascii="Times New Roman" w:hAnsi="Times New Roman" w:cs="Times New Roman"/>
          <w:b/>
          <w:bCs/>
          <w:sz w:val="40"/>
          <w:szCs w:val="40"/>
        </w:rPr>
        <w:t>What I Mean When I Say the Creed</w:t>
      </w:r>
      <w:r w:rsidRPr="00636C3E">
        <w:rPr>
          <w:rStyle w:val="FootnoteReference"/>
          <w:rFonts w:ascii="Times New Roman" w:hAnsi="Times New Roman" w:cs="Times New Roman"/>
          <w:b/>
          <w:bCs/>
          <w:sz w:val="40"/>
          <w:szCs w:val="40"/>
        </w:rPr>
        <w:footnoteReference w:id="1"/>
      </w:r>
    </w:p>
    <w:p w14:paraId="26599B04" w14:textId="77777777" w:rsidR="00FE4E2A" w:rsidRPr="00636C3E" w:rsidRDefault="00FE4E2A" w:rsidP="00FE4E2A">
      <w:pPr>
        <w:spacing w:after="120"/>
        <w:jc w:val="center"/>
        <w:rPr>
          <w:rFonts w:ascii="Times New Roman" w:hAnsi="Times New Roman" w:cs="Times New Roman"/>
        </w:rPr>
      </w:pPr>
      <w:r w:rsidRPr="00636C3E">
        <w:rPr>
          <w:rFonts w:ascii="Times New Roman" w:hAnsi="Times New Roman" w:cs="Times New Roman"/>
          <w:i/>
          <w:iCs/>
          <w:sz w:val="24"/>
          <w:szCs w:val="24"/>
        </w:rPr>
        <w:t>A gloss</w:t>
      </w:r>
      <w:r w:rsidRPr="00636C3E">
        <w:rPr>
          <w:rStyle w:val="FootnoteReference"/>
          <w:rFonts w:ascii="Times New Roman" w:hAnsi="Times New Roman" w:cs="Times New Roman"/>
          <w:i/>
          <w:iCs/>
          <w:sz w:val="24"/>
          <w:szCs w:val="24"/>
        </w:rPr>
        <w:footnoteReference w:id="2"/>
      </w:r>
      <w:r w:rsidRPr="00636C3E">
        <w:rPr>
          <w:rFonts w:ascii="Times New Roman" w:hAnsi="Times New Roman" w:cs="Times New Roman"/>
          <w:i/>
          <w:iCs/>
          <w:sz w:val="24"/>
          <w:szCs w:val="24"/>
        </w:rPr>
        <w:t xml:space="preserve"> on the Nicene Creed — 1979 Book of Common Prayer, Rite II</w:t>
      </w:r>
    </w:p>
    <w:p w14:paraId="569CBD7F" w14:textId="77777777" w:rsidR="00FE4E2A" w:rsidRPr="00636C3E" w:rsidRDefault="00FE4E2A" w:rsidP="00FE4E2A">
      <w:pPr>
        <w:spacing w:after="600"/>
        <w:jc w:val="center"/>
        <w:rPr>
          <w:rFonts w:ascii="Times New Roman" w:hAnsi="Times New Roman" w:cs="Times New Roman"/>
        </w:rPr>
      </w:pPr>
      <w:r w:rsidRPr="00636C3E">
        <w:rPr>
          <w:rFonts w:ascii="Times New Roman" w:hAnsi="Times New Roman" w:cs="Times New Roman"/>
          <w:sz w:val="24"/>
          <w:szCs w:val="24"/>
        </w:rPr>
        <w:t>Stephen Williamson</w:t>
      </w:r>
    </w:p>
    <w:p w14:paraId="561E9132" w14:textId="77777777" w:rsidR="00FE4E2A" w:rsidRPr="00636C3E" w:rsidRDefault="00FE4E2A" w:rsidP="00FE4E2A">
      <w:pPr>
        <w:pStyle w:val="Heading2"/>
        <w:spacing w:before="420" w:after="160"/>
        <w:rPr>
          <w:rFonts w:ascii="Times New Roman" w:hAnsi="Times New Roman" w:cs="Times New Roman"/>
        </w:rPr>
      </w:pPr>
      <w:r w:rsidRPr="00636C3E">
        <w:rPr>
          <w:rFonts w:ascii="Times New Roman" w:hAnsi="Times New Roman" w:cs="Times New Roman"/>
          <w:b/>
          <w:bCs/>
        </w:rPr>
        <w:t>Introduction</w:t>
      </w:r>
    </w:p>
    <w:p w14:paraId="6DB4FFC1" w14:textId="77777777" w:rsidR="00FE4E2A"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The Creed begins </w:t>
      </w:r>
      <w:r>
        <w:rPr>
          <w:rFonts w:ascii="Times New Roman" w:hAnsi="Times New Roman" w:cs="Times New Roman"/>
        </w:rPr>
        <w:t>with</w:t>
      </w:r>
      <w:r w:rsidRPr="00636C3E">
        <w:rPr>
          <w:rFonts w:ascii="Times New Roman" w:hAnsi="Times New Roman" w:cs="Times New Roman"/>
        </w:rPr>
        <w:t xml:space="preserve"> an act of borrowing and that should be acknowledged before anything else. </w:t>
      </w:r>
      <w:r w:rsidRPr="00636C3E">
        <w:rPr>
          <w:rFonts w:ascii="Times New Roman" w:hAnsi="Times New Roman" w:cs="Times New Roman"/>
          <w:i/>
          <w:iCs/>
        </w:rPr>
        <w:t>We believe in one God</w:t>
      </w:r>
      <w:r w:rsidRPr="00636C3E">
        <w:rPr>
          <w:rFonts w:ascii="Times New Roman" w:hAnsi="Times New Roman" w:cs="Times New Roman"/>
        </w:rPr>
        <w:t xml:space="preserve"> is the </w:t>
      </w:r>
      <w:r w:rsidRPr="00636C3E">
        <w:rPr>
          <w:rFonts w:ascii="Times New Roman" w:hAnsi="Times New Roman" w:cs="Times New Roman"/>
          <w:i/>
          <w:iCs/>
        </w:rPr>
        <w:t>Shema</w:t>
      </w:r>
      <w:r w:rsidRPr="00636C3E">
        <w:rPr>
          <w:rStyle w:val="FootnoteReference"/>
          <w:rFonts w:ascii="Times New Roman" w:hAnsi="Times New Roman" w:cs="Times New Roman"/>
          <w:i/>
          <w:iCs/>
        </w:rPr>
        <w:footnoteReference w:id="3"/>
      </w:r>
      <w:r w:rsidRPr="00636C3E">
        <w:rPr>
          <w:rFonts w:ascii="Times New Roman" w:hAnsi="Times New Roman" w:cs="Times New Roman"/>
        </w:rPr>
        <w:t xml:space="preserve"> in Greek dress. </w:t>
      </w:r>
      <w:r>
        <w:rPr>
          <w:rFonts w:ascii="Times New Roman" w:hAnsi="Times New Roman" w:cs="Times New Roman"/>
        </w:rPr>
        <w:t>T</w:t>
      </w:r>
      <w:r w:rsidRPr="00636C3E">
        <w:rPr>
          <w:rFonts w:ascii="Times New Roman" w:hAnsi="Times New Roman" w:cs="Times New Roman"/>
        </w:rPr>
        <w:t>his borrowing goes much deeper than the opening line</w:t>
      </w:r>
      <w:r>
        <w:rPr>
          <w:rFonts w:ascii="Times New Roman" w:hAnsi="Times New Roman" w:cs="Times New Roman"/>
        </w:rPr>
        <w:t xml:space="preserve"> as</w:t>
      </w:r>
      <w:r w:rsidRPr="00636C3E">
        <w:rPr>
          <w:rFonts w:ascii="Times New Roman" w:hAnsi="Times New Roman" w:cs="Times New Roman"/>
        </w:rPr>
        <w:t xml:space="preserve"> Paul had already taken the verse apart in a letter to Corinth</w:t>
      </w:r>
      <w:r w:rsidRPr="00636C3E">
        <w:rPr>
          <w:rStyle w:val="FootnoteReference"/>
          <w:rFonts w:ascii="Times New Roman" w:hAnsi="Times New Roman" w:cs="Times New Roman"/>
        </w:rPr>
        <w:footnoteReference w:id="4"/>
      </w:r>
      <w:r w:rsidRPr="00636C3E">
        <w:rPr>
          <w:rFonts w:ascii="Times New Roman" w:hAnsi="Times New Roman" w:cs="Times New Roman"/>
        </w:rPr>
        <w:t xml:space="preserve"> before any of the Gospels were written</w:t>
      </w:r>
      <w:r>
        <w:rPr>
          <w:rFonts w:ascii="Times New Roman" w:hAnsi="Times New Roman" w:cs="Times New Roman"/>
        </w:rPr>
        <w:t xml:space="preserve">—giving </w:t>
      </w:r>
      <w:r w:rsidRPr="00636C3E">
        <w:rPr>
          <w:rFonts w:ascii="Times New Roman" w:hAnsi="Times New Roman" w:cs="Times New Roman"/>
          <w:i/>
          <w:iCs/>
        </w:rPr>
        <w:t>God</w:t>
      </w:r>
      <w:r w:rsidRPr="00636C3E">
        <w:rPr>
          <w:rFonts w:ascii="Times New Roman" w:hAnsi="Times New Roman" w:cs="Times New Roman"/>
        </w:rPr>
        <w:t xml:space="preserve"> to the </w:t>
      </w:r>
      <w:r w:rsidRPr="00636C3E">
        <w:rPr>
          <w:rFonts w:ascii="Times New Roman" w:hAnsi="Times New Roman" w:cs="Times New Roman"/>
          <w:i/>
          <w:iCs/>
        </w:rPr>
        <w:t>Father</w:t>
      </w:r>
      <w:r w:rsidRPr="00636C3E">
        <w:rPr>
          <w:rFonts w:ascii="Times New Roman" w:hAnsi="Times New Roman" w:cs="Times New Roman"/>
        </w:rPr>
        <w:t xml:space="preserve"> and </w:t>
      </w:r>
      <w:r w:rsidRPr="00636C3E">
        <w:rPr>
          <w:rFonts w:ascii="Times New Roman" w:hAnsi="Times New Roman" w:cs="Times New Roman"/>
          <w:i/>
          <w:iCs/>
        </w:rPr>
        <w:t>Lord</w:t>
      </w:r>
      <w:r w:rsidRPr="00636C3E">
        <w:rPr>
          <w:rFonts w:ascii="Times New Roman" w:hAnsi="Times New Roman" w:cs="Times New Roman"/>
        </w:rPr>
        <w:t xml:space="preserve"> to </w:t>
      </w:r>
      <w:r w:rsidRPr="00636C3E">
        <w:rPr>
          <w:rFonts w:ascii="Times New Roman" w:hAnsi="Times New Roman" w:cs="Times New Roman"/>
          <w:i/>
          <w:iCs/>
        </w:rPr>
        <w:t>Jesus</w:t>
      </w:r>
      <w:r>
        <w:rPr>
          <w:rFonts w:ascii="Times New Roman" w:hAnsi="Times New Roman" w:cs="Times New Roman"/>
        </w:rPr>
        <w:t>.</w:t>
      </w:r>
      <w:r>
        <w:rPr>
          <w:rStyle w:val="FootnoteReference"/>
          <w:rFonts w:ascii="Times New Roman" w:hAnsi="Times New Roman" w:cs="Times New Roman"/>
        </w:rPr>
        <w:footnoteReference w:id="5"/>
      </w:r>
      <w:r>
        <w:rPr>
          <w:rFonts w:ascii="Times New Roman" w:hAnsi="Times New Roman" w:cs="Times New Roman"/>
        </w:rPr>
        <w:t xml:space="preserve"> The nuances of the comparison go much deeper, however, and they are essential for understanding what follows.</w:t>
      </w:r>
    </w:p>
    <w:p w14:paraId="53C49216" w14:textId="77777777" w:rsidR="00FE4E2A" w:rsidRDefault="00FE4E2A" w:rsidP="00FE4E2A">
      <w:pPr>
        <w:spacing w:after="180" w:line="276" w:lineRule="auto"/>
        <w:rPr>
          <w:rFonts w:ascii="Times New Roman" w:hAnsi="Times New Roman" w:cs="Times New Roman"/>
        </w:rPr>
      </w:pPr>
      <w:r>
        <w:rPr>
          <w:rFonts w:ascii="Times New Roman" w:hAnsi="Times New Roman" w:cs="Times New Roman"/>
        </w:rPr>
        <w:t>One could say that t</w:t>
      </w:r>
      <w:r w:rsidRPr="00636C3E">
        <w:rPr>
          <w:rFonts w:ascii="Times New Roman" w:hAnsi="Times New Roman" w:cs="Times New Roman"/>
        </w:rPr>
        <w:t xml:space="preserve">he </w:t>
      </w:r>
      <w:r w:rsidRPr="00636C3E">
        <w:rPr>
          <w:rFonts w:ascii="Times New Roman" w:hAnsi="Times New Roman" w:cs="Times New Roman"/>
          <w:i/>
          <w:iCs/>
        </w:rPr>
        <w:t>Shema</w:t>
      </w:r>
      <w:r w:rsidRPr="00636C3E">
        <w:rPr>
          <w:rFonts w:ascii="Times New Roman" w:hAnsi="Times New Roman" w:cs="Times New Roman"/>
        </w:rPr>
        <w:t xml:space="preserve"> is closer to what Judaism </w:t>
      </w:r>
      <w:r w:rsidRPr="00636C3E">
        <w:rPr>
          <w:rFonts w:ascii="Times New Roman" w:hAnsi="Times New Roman" w:cs="Times New Roman"/>
          <w:i/>
          <w:iCs/>
        </w:rPr>
        <w:t>is</w:t>
      </w:r>
      <w:r w:rsidRPr="00636C3E">
        <w:rPr>
          <w:rFonts w:ascii="Times New Roman" w:hAnsi="Times New Roman" w:cs="Times New Roman"/>
        </w:rPr>
        <w:t xml:space="preserve"> </w:t>
      </w:r>
      <w:r>
        <w:rPr>
          <w:rFonts w:ascii="Times New Roman" w:hAnsi="Times New Roman" w:cs="Times New Roman"/>
        </w:rPr>
        <w:t>than to what Judaism believes. T</w:t>
      </w:r>
      <w:r w:rsidRPr="00636C3E">
        <w:rPr>
          <w:rFonts w:ascii="Times New Roman" w:hAnsi="Times New Roman" w:cs="Times New Roman"/>
        </w:rPr>
        <w:t xml:space="preserve">hat is so difficult to express in figures of speech that when the text says, </w:t>
      </w:r>
      <w:r w:rsidRPr="00636C3E">
        <w:rPr>
          <w:rFonts w:ascii="Times New Roman" w:hAnsi="Times New Roman" w:cs="Times New Roman"/>
          <w:i/>
          <w:iCs/>
        </w:rPr>
        <w:t>bind them on your hand, set them between your eyes, write them on the doorposts of your house</w:t>
      </w:r>
      <w:r w:rsidRPr="00636C3E">
        <w:rPr>
          <w:rFonts w:ascii="Times New Roman" w:hAnsi="Times New Roman" w:cs="Times New Roman"/>
        </w:rPr>
        <w:t>, the binding is literal</w:t>
      </w:r>
      <w:r w:rsidRPr="00636C3E">
        <w:rPr>
          <w:rStyle w:val="FootnoteReference"/>
          <w:rFonts w:ascii="Times New Roman" w:hAnsi="Times New Roman" w:cs="Times New Roman"/>
        </w:rPr>
        <w:footnoteReference w:id="6"/>
      </w:r>
      <w:r w:rsidRPr="00636C3E">
        <w:rPr>
          <w:rFonts w:ascii="Times New Roman" w:hAnsi="Times New Roman" w:cs="Times New Roman"/>
        </w:rPr>
        <w:t xml:space="preserve"> and the rabbinic tradition takes it as such because nothing less was</w:t>
      </w:r>
      <w:r>
        <w:rPr>
          <w:rFonts w:ascii="Times New Roman" w:hAnsi="Times New Roman" w:cs="Times New Roman"/>
        </w:rPr>
        <w:t xml:space="preserve"> deemed</w:t>
      </w:r>
      <w:r w:rsidRPr="00636C3E">
        <w:rPr>
          <w:rFonts w:ascii="Times New Roman" w:hAnsi="Times New Roman" w:cs="Times New Roman"/>
        </w:rPr>
        <w:t xml:space="preserve"> sufficient. Children learn </w:t>
      </w:r>
      <w:r>
        <w:rPr>
          <w:rFonts w:ascii="Times New Roman" w:hAnsi="Times New Roman" w:cs="Times New Roman"/>
        </w:rPr>
        <w:t xml:space="preserve">to say </w:t>
      </w:r>
      <w:r>
        <w:rPr>
          <w:rFonts w:ascii="Times New Roman" w:hAnsi="Times New Roman" w:cs="Times New Roman"/>
          <w:i/>
          <w:iCs/>
        </w:rPr>
        <w:t>Shema</w:t>
      </w:r>
      <w:r>
        <w:rPr>
          <w:rFonts w:ascii="Times New Roman" w:hAnsi="Times New Roman" w:cs="Times New Roman"/>
        </w:rPr>
        <w:t xml:space="preserve"> first; i</w:t>
      </w:r>
      <w:r w:rsidRPr="00636C3E">
        <w:rPr>
          <w:rFonts w:ascii="Times New Roman" w:hAnsi="Times New Roman" w:cs="Times New Roman"/>
        </w:rPr>
        <w:t>t</w:t>
      </w:r>
      <w:r>
        <w:rPr>
          <w:rFonts w:ascii="Times New Roman" w:hAnsi="Times New Roman" w:cs="Times New Roman"/>
        </w:rPr>
        <w:t>’</w:t>
      </w:r>
      <w:r w:rsidRPr="00636C3E">
        <w:rPr>
          <w:rFonts w:ascii="Times New Roman" w:hAnsi="Times New Roman" w:cs="Times New Roman"/>
        </w:rPr>
        <w:t>s said upon waking</w:t>
      </w:r>
      <w:r>
        <w:rPr>
          <w:rFonts w:ascii="Times New Roman" w:hAnsi="Times New Roman" w:cs="Times New Roman"/>
        </w:rPr>
        <w:t xml:space="preserve">, </w:t>
      </w:r>
      <w:r w:rsidRPr="00636C3E">
        <w:rPr>
          <w:rFonts w:ascii="Times New Roman" w:hAnsi="Times New Roman" w:cs="Times New Roman"/>
        </w:rPr>
        <w:t>before sleeping</w:t>
      </w:r>
      <w:r>
        <w:rPr>
          <w:rFonts w:ascii="Times New Roman" w:hAnsi="Times New Roman" w:cs="Times New Roman"/>
        </w:rPr>
        <w:t>—the dying say it last.</w:t>
      </w:r>
    </w:p>
    <w:p w14:paraId="37254350" w14:textId="77777777" w:rsidR="00FE4E2A" w:rsidRDefault="00FE4E2A" w:rsidP="00FE4E2A">
      <w:pPr>
        <w:spacing w:after="180" w:line="276" w:lineRule="auto"/>
        <w:rPr>
          <w:rFonts w:ascii="Times New Roman" w:hAnsi="Times New Roman" w:cs="Times New Roman"/>
        </w:rPr>
      </w:pPr>
      <w:r>
        <w:rPr>
          <w:rFonts w:ascii="Times New Roman" w:hAnsi="Times New Roman" w:cs="Times New Roman"/>
        </w:rPr>
        <w:t>Most religions, in antiquity or now, located their integrity in practice rather than ascent. Given that he poured the libations and performed the sacrifices properly an ancient Roman or Greek could conceptualize Jupiter as an Olympian, a Stoic metaphor for the cosmic rational logos, an Epicurean being indifferent to humanity, or an allegory for what we now call Nature.</w:t>
      </w:r>
      <w:r>
        <w:rPr>
          <w:rStyle w:val="FootnoteReference"/>
          <w:rFonts w:ascii="Times New Roman" w:hAnsi="Times New Roman" w:cs="Times New Roman"/>
        </w:rPr>
        <w:footnoteReference w:id="7"/>
      </w:r>
      <w:r>
        <w:rPr>
          <w:rFonts w:ascii="Times New Roman" w:hAnsi="Times New Roman" w:cs="Times New Roman"/>
        </w:rPr>
        <w:t xml:space="preserve"> Rites and even deities were determined by family and society. In much the same way Judaism’s communal bond was carried by descent, shared practices, cultural structures—what could be called identity.</w:t>
      </w:r>
    </w:p>
    <w:p w14:paraId="2B942E6D" w14:textId="77777777" w:rsidR="00FE4E2A" w:rsidRDefault="00FE4E2A" w:rsidP="00FE4E2A">
      <w:pPr>
        <w:spacing w:after="180" w:line="276" w:lineRule="auto"/>
        <w:rPr>
          <w:rFonts w:ascii="Times New Roman" w:hAnsi="Times New Roman" w:cs="Times New Roman"/>
        </w:rPr>
      </w:pPr>
      <w:r>
        <w:rPr>
          <w:rFonts w:ascii="Times New Roman" w:hAnsi="Times New Roman" w:cs="Times New Roman"/>
        </w:rPr>
        <w:t xml:space="preserve">The communities to which Paul was writing had few or none of those things in common—no longer Jew or Greek, slave and free—but something had to carry that bond. The shared confession of the </w:t>
      </w:r>
      <w:r>
        <w:rPr>
          <w:rFonts w:ascii="Times New Roman" w:hAnsi="Times New Roman" w:cs="Times New Roman"/>
        </w:rPr>
        <w:lastRenderedPageBreak/>
        <w:t xml:space="preserve">Creed is, like saying the </w:t>
      </w:r>
      <w:r>
        <w:rPr>
          <w:rFonts w:ascii="Times New Roman" w:hAnsi="Times New Roman" w:cs="Times New Roman"/>
          <w:i/>
          <w:iCs/>
        </w:rPr>
        <w:t>Shema</w:t>
      </w:r>
      <w:r>
        <w:rPr>
          <w:rFonts w:ascii="Times New Roman" w:hAnsi="Times New Roman" w:cs="Times New Roman"/>
        </w:rPr>
        <w:t>,</w:t>
      </w:r>
      <w:r w:rsidRPr="00636C3E">
        <w:rPr>
          <w:rFonts w:ascii="Times New Roman" w:hAnsi="Times New Roman" w:cs="Times New Roman"/>
        </w:rPr>
        <w:t xml:space="preserve"> </w:t>
      </w:r>
      <w:r w:rsidRPr="00636C3E">
        <w:rPr>
          <w:rFonts w:ascii="Times New Roman" w:hAnsi="Times New Roman" w:cs="Times New Roman"/>
          <w:i/>
          <w:iCs/>
        </w:rPr>
        <w:t>kabbalat ol malchut shamayim</w:t>
      </w:r>
      <w:r w:rsidRPr="00636C3E">
        <w:rPr>
          <w:rFonts w:ascii="Times New Roman" w:hAnsi="Times New Roman" w:cs="Times New Roman"/>
        </w:rPr>
        <w:t>,</w:t>
      </w:r>
      <w:r w:rsidRPr="00636C3E">
        <w:rPr>
          <w:rStyle w:val="FootnoteReference"/>
          <w:rFonts w:ascii="Times New Roman" w:hAnsi="Times New Roman" w:cs="Times New Roman"/>
        </w:rPr>
        <w:footnoteReference w:id="8"/>
      </w:r>
      <w:r w:rsidRPr="00636C3E">
        <w:rPr>
          <w:rFonts w:ascii="Times New Roman" w:hAnsi="Times New Roman" w:cs="Times New Roman"/>
        </w:rPr>
        <w:t xml:space="preserve"> accepting the yoke of the kingdom of heaven</w:t>
      </w:r>
      <w:r>
        <w:rPr>
          <w:rFonts w:ascii="Times New Roman" w:hAnsi="Times New Roman" w:cs="Times New Roman"/>
        </w:rPr>
        <w:t>. So, for all their differences they are both in some sense constitutive of their traditions.</w:t>
      </w:r>
    </w:p>
    <w:p w14:paraId="6EC5E7AF" w14:textId="41A1635D" w:rsidR="00FE4E2A" w:rsidRPr="00636C3E" w:rsidRDefault="00FE4E2A" w:rsidP="00FE4E2A">
      <w:pPr>
        <w:spacing w:after="180" w:line="276" w:lineRule="auto"/>
        <w:rPr>
          <w:rFonts w:ascii="Times New Roman" w:hAnsi="Times New Roman" w:cs="Times New Roman"/>
        </w:rPr>
      </w:pPr>
      <w:r>
        <w:rPr>
          <w:rFonts w:ascii="Times New Roman" w:hAnsi="Times New Roman" w:cs="Times New Roman"/>
        </w:rPr>
        <w:t xml:space="preserve">The comparison is also interesting regarding the meanings of the words. The </w:t>
      </w:r>
      <w:r w:rsidRPr="00636C3E">
        <w:rPr>
          <w:rFonts w:ascii="Times New Roman" w:hAnsi="Times New Roman" w:cs="Times New Roman"/>
          <w:i/>
          <w:iCs/>
        </w:rPr>
        <w:t>Shema</w:t>
      </w:r>
      <w:r w:rsidRPr="00636C3E">
        <w:rPr>
          <w:rFonts w:ascii="Times New Roman" w:hAnsi="Times New Roman" w:cs="Times New Roman"/>
        </w:rPr>
        <w:t xml:space="preserve"> has been turned over for centuries without anyone imagining that reciting it commits the reciter to a single account of what the words mean. </w:t>
      </w:r>
      <w:r>
        <w:rPr>
          <w:rFonts w:ascii="Times New Roman" w:hAnsi="Times New Roman" w:cs="Times New Roman"/>
        </w:rPr>
        <w:t>In fact, t</w:t>
      </w:r>
      <w:r w:rsidRPr="00636C3E">
        <w:rPr>
          <w:rFonts w:ascii="Times New Roman" w:hAnsi="Times New Roman" w:cs="Times New Roman"/>
        </w:rPr>
        <w:t>wo of history’s greatest Torah commentators, Rashi and Ibn Ezra,</w:t>
      </w:r>
      <w:r w:rsidRPr="00636C3E">
        <w:rPr>
          <w:rStyle w:val="FootnoteReference"/>
          <w:rFonts w:ascii="Times New Roman" w:hAnsi="Times New Roman" w:cs="Times New Roman"/>
        </w:rPr>
        <w:footnoteReference w:id="9"/>
      </w:r>
      <w:r w:rsidRPr="00636C3E">
        <w:rPr>
          <w:rFonts w:ascii="Times New Roman" w:hAnsi="Times New Roman" w:cs="Times New Roman"/>
        </w:rPr>
        <w:t xml:space="preserve"> do not agree about what the word </w:t>
      </w:r>
      <w:r w:rsidRPr="00636C3E">
        <w:rPr>
          <w:rFonts w:ascii="Times New Roman" w:hAnsi="Times New Roman" w:cs="Times New Roman"/>
          <w:i/>
          <w:iCs/>
        </w:rPr>
        <w:t>echad</w:t>
      </w:r>
      <w:r w:rsidRPr="00636C3E">
        <w:rPr>
          <w:rStyle w:val="FootnoteReference"/>
          <w:rFonts w:ascii="Times New Roman" w:hAnsi="Times New Roman" w:cs="Times New Roman"/>
          <w:i/>
          <w:iCs/>
        </w:rPr>
        <w:footnoteReference w:id="10"/>
      </w:r>
      <w:r w:rsidRPr="00636C3E">
        <w:rPr>
          <w:rFonts w:ascii="Times New Roman" w:hAnsi="Times New Roman" w:cs="Times New Roman"/>
        </w:rPr>
        <w:t xml:space="preserve"> claims; nobody thinks this disqualifies either of them from saying it. While the Creed’s words were selected to exclude specific interpretations and mandate others, the ecumenical history shows that even for words chosen with</w:t>
      </w:r>
      <w:r>
        <w:rPr>
          <w:rFonts w:ascii="Times New Roman" w:hAnsi="Times New Roman" w:cs="Times New Roman"/>
        </w:rPr>
        <w:t xml:space="preserve"> such</w:t>
      </w:r>
      <w:r w:rsidRPr="00636C3E">
        <w:rPr>
          <w:rFonts w:ascii="Times New Roman" w:hAnsi="Times New Roman" w:cs="Times New Roman"/>
        </w:rPr>
        <w:t xml:space="preserve"> care, the saying is the act; the meaning is the work of a life</w:t>
      </w:r>
      <w:r>
        <w:rPr>
          <w:rFonts w:ascii="Times New Roman" w:hAnsi="Times New Roman" w:cs="Times New Roman"/>
        </w:rPr>
        <w:t xml:space="preserve"> </w:t>
      </w:r>
      <w:r w:rsidR="00765ACF">
        <w:rPr>
          <w:rFonts w:ascii="Times New Roman" w:hAnsi="Times New Roman" w:cs="Times New Roman"/>
        </w:rPr>
        <w:t>(</w:t>
      </w:r>
      <w:r>
        <w:rPr>
          <w:rFonts w:ascii="Times New Roman" w:hAnsi="Times New Roman" w:cs="Times New Roman"/>
        </w:rPr>
        <w:t>perhaps the work of centuries.</w:t>
      </w:r>
      <w:r w:rsidR="00765ACF">
        <w:rPr>
          <w:rFonts w:ascii="Times New Roman" w:hAnsi="Times New Roman" w:cs="Times New Roman"/>
        </w:rPr>
        <w:t>)</w:t>
      </w:r>
    </w:p>
    <w:p w14:paraId="3956077B" w14:textId="77777777" w:rsidR="00FE4E2A" w:rsidRPr="00636C3E" w:rsidRDefault="00FE4E2A" w:rsidP="00FE4E2A">
      <w:pPr>
        <w:spacing w:after="180" w:line="276" w:lineRule="auto"/>
        <w:rPr>
          <w:rFonts w:ascii="Times New Roman" w:hAnsi="Times New Roman" w:cs="Times New Roman"/>
        </w:rPr>
      </w:pPr>
      <w:r>
        <w:rPr>
          <w:rFonts w:ascii="Times New Roman" w:hAnsi="Times New Roman" w:cs="Times New Roman"/>
        </w:rPr>
        <w:t>The last detail I want to highlight is not one of theology</w:t>
      </w:r>
      <w:r w:rsidRPr="00636C3E">
        <w:rPr>
          <w:rFonts w:ascii="Times New Roman" w:hAnsi="Times New Roman" w:cs="Times New Roman"/>
        </w:rPr>
        <w:t>,</w:t>
      </w:r>
      <w:r>
        <w:rPr>
          <w:rFonts w:ascii="Times New Roman" w:hAnsi="Times New Roman" w:cs="Times New Roman"/>
        </w:rPr>
        <w:t xml:space="preserve"> but rather calligraphy. I</w:t>
      </w:r>
      <w:r w:rsidRPr="00636C3E">
        <w:rPr>
          <w:rFonts w:ascii="Times New Roman" w:hAnsi="Times New Roman" w:cs="Times New Roman"/>
        </w:rPr>
        <w:t xml:space="preserve">n </w:t>
      </w:r>
      <w:r>
        <w:rPr>
          <w:rFonts w:ascii="Times New Roman" w:hAnsi="Times New Roman" w:cs="Times New Roman"/>
        </w:rPr>
        <w:t>a Kosher</w:t>
      </w:r>
      <w:r w:rsidRPr="00636C3E">
        <w:rPr>
          <w:rFonts w:ascii="Times New Roman" w:hAnsi="Times New Roman" w:cs="Times New Roman"/>
        </w:rPr>
        <w:t xml:space="preserve"> Torah scroll</w:t>
      </w:r>
      <w:r>
        <w:rPr>
          <w:rFonts w:ascii="Times New Roman" w:hAnsi="Times New Roman" w:cs="Times New Roman"/>
        </w:rPr>
        <w:t xml:space="preserve"> t</w:t>
      </w:r>
      <w:r w:rsidRPr="00636C3E">
        <w:rPr>
          <w:rFonts w:ascii="Times New Roman" w:hAnsi="Times New Roman" w:cs="Times New Roman"/>
        </w:rPr>
        <w:t xml:space="preserve">he letter </w:t>
      </w:r>
      <w:r w:rsidRPr="00636C3E">
        <w:rPr>
          <w:rFonts w:ascii="Times New Roman" w:hAnsi="Times New Roman" w:cs="Times New Roman"/>
          <w:i/>
          <w:iCs/>
        </w:rPr>
        <w:t>ayin</w:t>
      </w:r>
      <w:r w:rsidRPr="00636C3E">
        <w:rPr>
          <w:rFonts w:ascii="Times New Roman" w:hAnsi="Times New Roman" w:cs="Times New Roman"/>
        </w:rPr>
        <w:t xml:space="preserve"> of</w:t>
      </w:r>
      <w:r>
        <w:rPr>
          <w:rFonts w:ascii="Times New Roman" w:hAnsi="Times New Roman" w:cs="Times New Roman"/>
        </w:rPr>
        <w:t xml:space="preserve"> the word</w:t>
      </w:r>
      <w:r w:rsidRPr="00636C3E">
        <w:rPr>
          <w:rFonts w:ascii="Times New Roman" w:hAnsi="Times New Roman" w:cs="Times New Roman"/>
        </w:rPr>
        <w:t xml:space="preserve"> </w:t>
      </w:r>
      <w:r w:rsidRPr="00636C3E">
        <w:rPr>
          <w:rFonts w:ascii="Times New Roman" w:hAnsi="Times New Roman" w:cs="Times New Roman"/>
          <w:i/>
          <w:iCs/>
        </w:rPr>
        <w:t>shema</w:t>
      </w:r>
      <w:r w:rsidRPr="00636C3E">
        <w:rPr>
          <w:rFonts w:ascii="Times New Roman" w:hAnsi="Times New Roman" w:cs="Times New Roman"/>
        </w:rPr>
        <w:t xml:space="preserve"> and the letter </w:t>
      </w:r>
      <w:r w:rsidRPr="00636C3E">
        <w:rPr>
          <w:rFonts w:ascii="Times New Roman" w:hAnsi="Times New Roman" w:cs="Times New Roman"/>
          <w:i/>
          <w:iCs/>
        </w:rPr>
        <w:t>dalet</w:t>
      </w:r>
      <w:r w:rsidRPr="00636C3E">
        <w:rPr>
          <w:rFonts w:ascii="Times New Roman" w:hAnsi="Times New Roman" w:cs="Times New Roman"/>
        </w:rPr>
        <w:t xml:space="preserve"> of</w:t>
      </w:r>
      <w:r>
        <w:rPr>
          <w:rFonts w:ascii="Times New Roman" w:hAnsi="Times New Roman" w:cs="Times New Roman"/>
        </w:rPr>
        <w:t xml:space="preserve"> the word</w:t>
      </w:r>
      <w:r w:rsidRPr="00636C3E">
        <w:rPr>
          <w:rFonts w:ascii="Times New Roman" w:hAnsi="Times New Roman" w:cs="Times New Roman"/>
        </w:rPr>
        <w:t xml:space="preserve"> </w:t>
      </w:r>
      <w:r w:rsidRPr="00636C3E">
        <w:rPr>
          <w:rFonts w:ascii="Times New Roman" w:hAnsi="Times New Roman" w:cs="Times New Roman"/>
          <w:i/>
          <w:iCs/>
        </w:rPr>
        <w:t>echad</w:t>
      </w:r>
      <w:r w:rsidRPr="00636C3E">
        <w:rPr>
          <w:rFonts w:ascii="Times New Roman" w:hAnsi="Times New Roman" w:cs="Times New Roman"/>
        </w:rPr>
        <w:t xml:space="preserve"> are written large</w:t>
      </w:r>
      <w:r>
        <w:rPr>
          <w:rFonts w:ascii="Times New Roman" w:hAnsi="Times New Roman" w:cs="Times New Roman"/>
        </w:rPr>
        <w:t>r than the surrounding letters. T</w:t>
      </w:r>
      <w:r w:rsidRPr="00636C3E">
        <w:rPr>
          <w:rFonts w:ascii="Times New Roman" w:hAnsi="Times New Roman" w:cs="Times New Roman"/>
        </w:rPr>
        <w:t xml:space="preserve">ogether they spell </w:t>
      </w:r>
      <w:r w:rsidRPr="00636C3E">
        <w:rPr>
          <w:rFonts w:ascii="Times New Roman" w:hAnsi="Times New Roman" w:cs="Times New Roman"/>
          <w:i/>
          <w:iCs/>
        </w:rPr>
        <w:t>ed</w:t>
      </w:r>
      <w:r w:rsidRPr="00636C3E">
        <w:rPr>
          <w:rFonts w:ascii="Times New Roman" w:hAnsi="Times New Roman" w:cs="Times New Roman"/>
        </w:rPr>
        <w:t xml:space="preserve"> — </w:t>
      </w:r>
      <w:r>
        <w:rPr>
          <w:rFonts w:ascii="Times New Roman" w:hAnsi="Times New Roman" w:cs="Times New Roman"/>
        </w:rPr>
        <w:t xml:space="preserve">Hebrew for </w:t>
      </w:r>
      <w:r w:rsidRPr="00636C3E">
        <w:rPr>
          <w:rFonts w:ascii="Times New Roman" w:hAnsi="Times New Roman" w:cs="Times New Roman"/>
        </w:rPr>
        <w:t>witness. The one speaking the words is giving a testimony from a perspective, and every perspective has its own.</w:t>
      </w:r>
    </w:p>
    <w:p w14:paraId="3469CA88" w14:textId="77777777" w:rsidR="00FE4E2A" w:rsidRPr="00636C3E" w:rsidRDefault="00FE4E2A" w:rsidP="00FE4E2A">
      <w:pPr>
        <w:spacing w:after="180" w:line="276" w:lineRule="auto"/>
        <w:rPr>
          <w:rFonts w:ascii="Times New Roman" w:hAnsi="Times New Roman" w:cs="Times New Roman"/>
        </w:rPr>
      </w:pPr>
      <w:r>
        <w:rPr>
          <w:rFonts w:ascii="Times New Roman" w:hAnsi="Times New Roman" w:cs="Times New Roman"/>
        </w:rPr>
        <w:t xml:space="preserve">In </w:t>
      </w:r>
      <w:r w:rsidRPr="00636C3E">
        <w:rPr>
          <w:rFonts w:ascii="Times New Roman" w:hAnsi="Times New Roman" w:cs="Times New Roman"/>
        </w:rPr>
        <w:t>perspective,</w:t>
      </w:r>
      <w:r>
        <w:rPr>
          <w:rFonts w:ascii="Times New Roman" w:hAnsi="Times New Roman" w:cs="Times New Roman"/>
        </w:rPr>
        <w:t xml:space="preserve"> as testimony,</w:t>
      </w:r>
      <w:r w:rsidRPr="00636C3E">
        <w:rPr>
          <w:rFonts w:ascii="Times New Roman" w:hAnsi="Times New Roman" w:cs="Times New Roman"/>
        </w:rPr>
        <w:t xml:space="preserve"> every disclosure describe</w:t>
      </w:r>
      <w:r>
        <w:rPr>
          <w:rFonts w:ascii="Times New Roman" w:hAnsi="Times New Roman" w:cs="Times New Roman"/>
        </w:rPr>
        <w:t>d below</w:t>
      </w:r>
      <w:r w:rsidRPr="00636C3E">
        <w:rPr>
          <w:rFonts w:ascii="Times New Roman" w:hAnsi="Times New Roman" w:cs="Times New Roman"/>
        </w:rPr>
        <w:t xml:space="preserve"> becomes legible only afterward</w:t>
      </w:r>
      <w:r>
        <w:rPr>
          <w:rFonts w:ascii="Times New Roman" w:hAnsi="Times New Roman" w:cs="Times New Roman"/>
        </w:rPr>
        <w:t xml:space="preserve">—nothing </w:t>
      </w:r>
      <w:r w:rsidRPr="00636C3E">
        <w:rPr>
          <w:rFonts w:ascii="Times New Roman" w:hAnsi="Times New Roman" w:cs="Times New Roman"/>
        </w:rPr>
        <w:t xml:space="preserve">can be run forward. The third day is read back into Hosea; the cross read back from the resurrection; the criterion I use to say what is unique about Christ rests on what happens after it is applied. </w:t>
      </w:r>
      <w:r>
        <w:rPr>
          <w:rFonts w:ascii="Times New Roman" w:hAnsi="Times New Roman" w:cs="Times New Roman"/>
        </w:rPr>
        <w:t xml:space="preserve">But the directionality itself is </w:t>
      </w:r>
      <w:r w:rsidRPr="00636C3E">
        <w:rPr>
          <w:rFonts w:ascii="Times New Roman" w:hAnsi="Times New Roman" w:cs="Times New Roman"/>
        </w:rPr>
        <w:t>perspectival</w:t>
      </w:r>
      <w:r>
        <w:rPr>
          <w:rFonts w:ascii="Times New Roman" w:hAnsi="Times New Roman" w:cs="Times New Roman"/>
        </w:rPr>
        <w:t>;</w:t>
      </w:r>
      <w:r w:rsidRPr="00636C3E">
        <w:rPr>
          <w:rFonts w:ascii="Times New Roman" w:hAnsi="Times New Roman" w:cs="Times New Roman"/>
        </w:rPr>
        <w:t xml:space="preserve"> the actual motion is </w:t>
      </w:r>
      <w:r w:rsidRPr="00636C3E">
        <w:rPr>
          <w:rFonts w:ascii="Times New Roman" w:hAnsi="Times New Roman" w:cs="Times New Roman"/>
          <w:i/>
          <w:iCs/>
        </w:rPr>
        <w:t>spanda</w:t>
      </w:r>
      <w:r>
        <w:rPr>
          <w:rStyle w:val="FootnoteReference"/>
          <w:rFonts w:ascii="Times New Roman" w:hAnsi="Times New Roman" w:cs="Times New Roman"/>
          <w:i/>
          <w:iCs/>
        </w:rPr>
        <w:footnoteReference w:id="11"/>
      </w:r>
      <w:r w:rsidRPr="00636C3E">
        <w:rPr>
          <w:rFonts w:ascii="Times New Roman" w:hAnsi="Times New Roman" w:cs="Times New Roman"/>
        </w:rPr>
        <w:t xml:space="preserve"> — revealing and concealing in one simultaneous act. That we all must meet the pulse “from somewhere” is not a defect in the system but rather the nature of embodied existence. Nothing is added in the seeing. Recognition is of what was always the case.</w:t>
      </w:r>
    </w:p>
    <w:p w14:paraId="598B9CDF" w14:textId="77777777" w:rsidR="00FE4E2A" w:rsidRPr="00636C3E"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Two </w:t>
      </w:r>
      <w:r>
        <w:rPr>
          <w:rFonts w:ascii="Times New Roman" w:hAnsi="Times New Roman" w:cs="Times New Roman"/>
        </w:rPr>
        <w:t>key principles</w:t>
      </w:r>
      <w:r w:rsidRPr="00636C3E">
        <w:rPr>
          <w:rFonts w:ascii="Times New Roman" w:hAnsi="Times New Roman" w:cs="Times New Roman"/>
        </w:rPr>
        <w:t xml:space="preserve"> follow and everything </w:t>
      </w:r>
      <w:r>
        <w:rPr>
          <w:rFonts w:ascii="Times New Roman" w:hAnsi="Times New Roman" w:cs="Times New Roman"/>
        </w:rPr>
        <w:t xml:space="preserve">here </w:t>
      </w:r>
      <w:r w:rsidRPr="00636C3E">
        <w:rPr>
          <w:rFonts w:ascii="Times New Roman" w:hAnsi="Times New Roman" w:cs="Times New Roman"/>
        </w:rPr>
        <w:t xml:space="preserve">depends on them. </w:t>
      </w:r>
      <w:r>
        <w:rPr>
          <w:rFonts w:ascii="Times New Roman" w:hAnsi="Times New Roman" w:cs="Times New Roman"/>
        </w:rPr>
        <w:t>F</w:t>
      </w:r>
      <w:r w:rsidRPr="00636C3E">
        <w:rPr>
          <w:rFonts w:ascii="Times New Roman" w:hAnsi="Times New Roman" w:cs="Times New Roman"/>
        </w:rPr>
        <w:t>irst</w:t>
      </w:r>
      <w:r>
        <w:rPr>
          <w:rFonts w:ascii="Times New Roman" w:hAnsi="Times New Roman" w:cs="Times New Roman"/>
        </w:rPr>
        <w:t xml:space="preserve">, </w:t>
      </w:r>
      <w:r w:rsidRPr="00636C3E">
        <w:rPr>
          <w:rFonts w:ascii="Times New Roman" w:hAnsi="Times New Roman" w:cs="Times New Roman"/>
        </w:rPr>
        <w:t xml:space="preserve">the pattern is not </w:t>
      </w:r>
      <w:r>
        <w:rPr>
          <w:rFonts w:ascii="Times New Roman" w:hAnsi="Times New Roman" w:cs="Times New Roman"/>
        </w:rPr>
        <w:t>a</w:t>
      </w:r>
      <w:r w:rsidRPr="00636C3E">
        <w:rPr>
          <w:rFonts w:ascii="Times New Roman" w:hAnsi="Times New Roman" w:cs="Times New Roman"/>
        </w:rPr>
        <w:t xml:space="preserve"> prediction. </w:t>
      </w:r>
      <w:r>
        <w:rPr>
          <w:rFonts w:ascii="Times New Roman" w:hAnsi="Times New Roman" w:cs="Times New Roman"/>
        </w:rPr>
        <w:t>In other words, w</w:t>
      </w:r>
      <w:r w:rsidRPr="00636C3E">
        <w:rPr>
          <w:rFonts w:ascii="Times New Roman" w:hAnsi="Times New Roman" w:cs="Times New Roman"/>
        </w:rPr>
        <w:t>hen I say the third day was already a threshold in Hosea, the earlier reading survives intact and a second instance is added to it; nothing is converted into a placeholder for a meaning its first readers could not have held. Sufficiency applies to reading as well as to salvation, and the texts are not IOUs. The second</w:t>
      </w:r>
      <w:r>
        <w:rPr>
          <w:rFonts w:ascii="Times New Roman" w:hAnsi="Times New Roman" w:cs="Times New Roman"/>
        </w:rPr>
        <w:t xml:space="preserve"> principle</w:t>
      </w:r>
      <w:r w:rsidRPr="00636C3E">
        <w:rPr>
          <w:rFonts w:ascii="Times New Roman" w:hAnsi="Times New Roman" w:cs="Times New Roman"/>
        </w:rPr>
        <w:t xml:space="preserve"> is</w:t>
      </w:r>
      <w:r>
        <w:rPr>
          <w:rFonts w:ascii="Times New Roman" w:hAnsi="Times New Roman" w:cs="Times New Roman"/>
        </w:rPr>
        <w:t xml:space="preserve"> the reiteration of </w:t>
      </w:r>
      <w:r w:rsidRPr="00636C3E">
        <w:rPr>
          <w:rFonts w:ascii="Times New Roman" w:hAnsi="Times New Roman" w:cs="Times New Roman"/>
        </w:rPr>
        <w:t>perspective itself. There are two ways to say that a thing looks different from different positions. One collapses the difference</w:t>
      </w:r>
      <w:r>
        <w:rPr>
          <w:rFonts w:ascii="Times New Roman" w:hAnsi="Times New Roman" w:cs="Times New Roman"/>
        </w:rPr>
        <w:t xml:space="preserve">. </w:t>
      </w:r>
      <w:r w:rsidRPr="00636C3E">
        <w:rPr>
          <w:rFonts w:ascii="Times New Roman" w:hAnsi="Times New Roman" w:cs="Times New Roman"/>
        </w:rPr>
        <w:t>The other holds both views as true and irreducible. I use the second throughout and the first nowhere</w:t>
      </w:r>
      <w:r>
        <w:rPr>
          <w:rFonts w:ascii="Times New Roman" w:hAnsi="Times New Roman" w:cs="Times New Roman"/>
        </w:rPr>
        <w:t>.</w:t>
      </w:r>
    </w:p>
    <w:p w14:paraId="5C0DEC34" w14:textId="77777777" w:rsidR="00FE4E2A" w:rsidRPr="00636C3E" w:rsidRDefault="00FE4E2A" w:rsidP="00FE4E2A">
      <w:pPr>
        <w:pStyle w:val="Heading1"/>
        <w:pageBreakBefore/>
        <w:spacing w:before="240" w:after="360"/>
        <w:jc w:val="center"/>
        <w:rPr>
          <w:rFonts w:ascii="Times New Roman" w:hAnsi="Times New Roman" w:cs="Times New Roman"/>
        </w:rPr>
      </w:pPr>
      <w:r w:rsidRPr="00636C3E">
        <w:rPr>
          <w:rFonts w:ascii="Times New Roman" w:hAnsi="Times New Roman" w:cs="Times New Roman"/>
          <w:b/>
          <w:bCs/>
        </w:rPr>
        <w:lastRenderedPageBreak/>
        <w:t>Part One · Of God</w:t>
      </w:r>
    </w:p>
    <w:p w14:paraId="1D2B74E3" w14:textId="77777777" w:rsidR="00FE4E2A" w:rsidRPr="00636C3E" w:rsidRDefault="00FE4E2A" w:rsidP="00FE4E2A">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It is I who created the smith</w:t>
      </w:r>
    </w:p>
    <w:p w14:paraId="272FF4D2" w14:textId="77777777" w:rsidR="00FE4E2A" w:rsidRPr="00636C3E" w:rsidRDefault="00FE4E2A" w:rsidP="00FE4E2A">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To fan the charcoal fire</w:t>
      </w:r>
    </w:p>
    <w:p w14:paraId="75CFD349" w14:textId="77777777" w:rsidR="00FE4E2A" w:rsidRPr="00636C3E" w:rsidRDefault="00FE4E2A" w:rsidP="00FE4E2A">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And produce tools for each purpose;</w:t>
      </w:r>
    </w:p>
    <w:p w14:paraId="40E97DCC" w14:textId="77777777" w:rsidR="00FE4E2A" w:rsidRPr="00636C3E" w:rsidRDefault="00FE4E2A" w:rsidP="00FE4E2A">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So it is I who create</w:t>
      </w:r>
    </w:p>
    <w:p w14:paraId="588BD2B3" w14:textId="77777777" w:rsidR="00FE4E2A" w:rsidRPr="00636C3E" w:rsidRDefault="00FE4E2A" w:rsidP="00FE4E2A">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The instruments of havoc.</w:t>
      </w:r>
    </w:p>
    <w:p w14:paraId="071F03D5" w14:textId="77777777" w:rsidR="00FE4E2A" w:rsidRPr="00636C3E" w:rsidRDefault="00FE4E2A" w:rsidP="00FE4E2A">
      <w:pPr>
        <w:spacing w:before="120" w:after="400"/>
        <w:ind w:right="720"/>
        <w:jc w:val="right"/>
        <w:rPr>
          <w:rFonts w:ascii="Times New Roman" w:hAnsi="Times New Roman" w:cs="Times New Roman"/>
        </w:rPr>
      </w:pPr>
      <w:r w:rsidRPr="00636C3E">
        <w:rPr>
          <w:rFonts w:ascii="Times New Roman" w:hAnsi="Times New Roman" w:cs="Times New Roman"/>
          <w:sz w:val="21"/>
          <w:szCs w:val="21"/>
        </w:rPr>
        <w:t>— Isaiah 54:16</w:t>
      </w:r>
    </w:p>
    <w:p w14:paraId="4BE2BDF2" w14:textId="77777777" w:rsidR="00FE4E2A" w:rsidRPr="00636C3E"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The Greek Fathers give us the vocabulary for what the Creed is doing in its own word order. </w:t>
      </w:r>
      <w:r w:rsidRPr="00636C3E">
        <w:rPr>
          <w:rFonts w:ascii="Times New Roman" w:hAnsi="Times New Roman" w:cs="Times New Roman"/>
          <w:i/>
          <w:iCs/>
        </w:rPr>
        <w:t>Theologia</w:t>
      </w:r>
      <w:r w:rsidRPr="00636C3E">
        <w:rPr>
          <w:rFonts w:ascii="Times New Roman" w:hAnsi="Times New Roman" w:cs="Times New Roman"/>
        </w:rPr>
        <w:t xml:space="preserve"> is G-d as G-d is in himself. </w:t>
      </w:r>
      <w:r w:rsidRPr="00636C3E">
        <w:rPr>
          <w:rFonts w:ascii="Times New Roman" w:hAnsi="Times New Roman" w:cs="Times New Roman"/>
          <w:i/>
          <w:iCs/>
        </w:rPr>
        <w:t>Oikonomia</w:t>
      </w:r>
      <w:r w:rsidRPr="00636C3E">
        <w:rPr>
          <w:rFonts w:ascii="Times New Roman" w:hAnsi="Times New Roman" w:cs="Times New Roman"/>
        </w:rPr>
        <w:t xml:space="preserve"> is G-d as G-d is toward us.</w:t>
      </w:r>
      <w:r w:rsidRPr="00636C3E">
        <w:rPr>
          <w:rStyle w:val="FootnoteReference"/>
          <w:rFonts w:ascii="Times New Roman" w:hAnsi="Times New Roman" w:cs="Times New Roman"/>
        </w:rPr>
        <w:footnoteReference w:id="12"/>
      </w:r>
      <w:r w:rsidRPr="00636C3E">
        <w:rPr>
          <w:rFonts w:ascii="Times New Roman" w:hAnsi="Times New Roman" w:cs="Times New Roman"/>
        </w:rPr>
        <w:t xml:space="preserve"> The Creed says the first in six words and spends the rest of itself on the second. </w:t>
      </w:r>
      <w:r w:rsidRPr="00636C3E">
        <w:rPr>
          <w:rFonts w:ascii="Times New Roman" w:hAnsi="Times New Roman" w:cs="Times New Roman"/>
          <w:i/>
          <w:iCs/>
        </w:rPr>
        <w:t>We believe in one God, the Father</w:t>
      </w:r>
      <w:r w:rsidRPr="00636C3E">
        <w:rPr>
          <w:rFonts w:ascii="Times New Roman" w:hAnsi="Times New Roman" w:cs="Times New Roman"/>
        </w:rPr>
        <w:t xml:space="preserve"> is theology. </w:t>
      </w:r>
      <w:r w:rsidRPr="00636C3E">
        <w:rPr>
          <w:rFonts w:ascii="Times New Roman" w:hAnsi="Times New Roman" w:cs="Times New Roman"/>
          <w:i/>
          <w:iCs/>
        </w:rPr>
        <w:t>Almighty</w:t>
      </w:r>
      <w:r w:rsidRPr="00636C3E">
        <w:rPr>
          <w:rFonts w:ascii="Times New Roman" w:hAnsi="Times New Roman" w:cs="Times New Roman"/>
        </w:rPr>
        <w:t xml:space="preserve"> requires something held; </w:t>
      </w:r>
      <w:r w:rsidRPr="00636C3E">
        <w:rPr>
          <w:rFonts w:ascii="Times New Roman" w:hAnsi="Times New Roman" w:cs="Times New Roman"/>
          <w:i/>
          <w:iCs/>
        </w:rPr>
        <w:t>Maker</w:t>
      </w:r>
      <w:r w:rsidRPr="00636C3E">
        <w:rPr>
          <w:rFonts w:ascii="Times New Roman" w:hAnsi="Times New Roman" w:cs="Times New Roman"/>
        </w:rPr>
        <w:t xml:space="preserve"> requires something made; </w:t>
      </w:r>
      <w:r w:rsidRPr="00636C3E">
        <w:rPr>
          <w:rFonts w:ascii="Times New Roman" w:hAnsi="Times New Roman" w:cs="Times New Roman"/>
          <w:i/>
          <w:iCs/>
        </w:rPr>
        <w:t>seen and unseen</w:t>
      </w:r>
      <w:r w:rsidRPr="00636C3E">
        <w:rPr>
          <w:rFonts w:ascii="Times New Roman" w:hAnsi="Times New Roman" w:cs="Times New Roman"/>
        </w:rPr>
        <w:t xml:space="preserve"> requires a creation already divided. Those words would be empty if nothing had been fashioned.</w:t>
      </w:r>
    </w:p>
    <w:p w14:paraId="549DD643" w14:textId="77777777" w:rsidR="00FE4E2A" w:rsidRPr="00636C3E"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One may argue that the word </w:t>
      </w:r>
      <w:r w:rsidRPr="00636C3E">
        <w:rPr>
          <w:rFonts w:ascii="Times New Roman" w:hAnsi="Times New Roman" w:cs="Times New Roman"/>
          <w:i/>
          <w:iCs/>
        </w:rPr>
        <w:t>Father</w:t>
      </w:r>
      <w:r w:rsidRPr="00636C3E">
        <w:rPr>
          <w:rFonts w:ascii="Times New Roman" w:hAnsi="Times New Roman" w:cs="Times New Roman"/>
        </w:rPr>
        <w:t xml:space="preserve"> is also inherently relational and therefore on the wrong side of the line, and at first glance that appears to be the case. But the Creed is making a subtle claim that affirms the relation and keeps it </w:t>
      </w:r>
      <w:r w:rsidRPr="00636C3E">
        <w:rPr>
          <w:rFonts w:ascii="Times New Roman" w:hAnsi="Times New Roman" w:cs="Times New Roman"/>
          <w:i/>
          <w:iCs/>
        </w:rPr>
        <w:t>theologia</w:t>
      </w:r>
      <w:r w:rsidRPr="00636C3E">
        <w:rPr>
          <w:rFonts w:ascii="Times New Roman" w:hAnsi="Times New Roman" w:cs="Times New Roman"/>
        </w:rPr>
        <w:t>: the Father as unoriginate absolute — the archetypal Father, of whom every fatherhood is named.</w:t>
      </w:r>
      <w:r w:rsidRPr="00636C3E">
        <w:rPr>
          <w:rStyle w:val="FootnoteReference"/>
          <w:rFonts w:ascii="Times New Roman" w:hAnsi="Times New Roman" w:cs="Times New Roman"/>
        </w:rPr>
        <w:footnoteReference w:id="13"/>
      </w:r>
    </w:p>
    <w:p w14:paraId="4631B104" w14:textId="77777777" w:rsidR="00FE4E2A" w:rsidRPr="00636C3E"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So this document is in two parts, and the break falls three words into the first sentence. Part One is </w:t>
      </w:r>
      <w:r w:rsidRPr="00636C3E">
        <w:rPr>
          <w:rFonts w:ascii="Times New Roman" w:hAnsi="Times New Roman" w:cs="Times New Roman"/>
          <w:i/>
          <w:iCs/>
        </w:rPr>
        <w:t>We believe in one God, the Father</w:t>
      </w:r>
      <w:r w:rsidRPr="00636C3E">
        <w:rPr>
          <w:rFonts w:ascii="Times New Roman" w:hAnsi="Times New Roman" w:cs="Times New Roman"/>
        </w:rPr>
        <w:t xml:space="preserve">. Part Two is everything from </w:t>
      </w:r>
      <w:r w:rsidRPr="00636C3E">
        <w:rPr>
          <w:rFonts w:ascii="Times New Roman" w:hAnsi="Times New Roman" w:cs="Times New Roman"/>
          <w:i/>
          <w:iCs/>
        </w:rPr>
        <w:t>the Almighty</w:t>
      </w:r>
      <w:r w:rsidRPr="00636C3E">
        <w:rPr>
          <w:rFonts w:ascii="Times New Roman" w:hAnsi="Times New Roman" w:cs="Times New Roman"/>
        </w:rPr>
        <w:t xml:space="preserve"> to </w:t>
      </w:r>
      <w:r w:rsidRPr="00636C3E">
        <w:rPr>
          <w:rFonts w:ascii="Times New Roman" w:hAnsi="Times New Roman" w:cs="Times New Roman"/>
          <w:i/>
          <w:iCs/>
        </w:rPr>
        <w:t>the life of the world to come</w:t>
      </w:r>
      <w:r w:rsidRPr="00636C3E">
        <w:rPr>
          <w:rFonts w:ascii="Times New Roman" w:hAnsi="Times New Roman" w:cs="Times New Roman"/>
        </w:rPr>
        <w:t>. The imbalance is not an accident of proportion. The shorter part carries the premise and the longer one carries what follows from it.</w:t>
      </w:r>
    </w:p>
    <w:p w14:paraId="7B60B6C6" w14:textId="77777777" w:rsidR="00FE4E2A" w:rsidRPr="00636C3E" w:rsidRDefault="00FE4E2A" w:rsidP="00FE4E2A">
      <w:pPr>
        <w:spacing w:after="180" w:line="276" w:lineRule="auto"/>
        <w:rPr>
          <w:rFonts w:ascii="Times New Roman" w:hAnsi="Times New Roman" w:cs="Times New Roman"/>
        </w:rPr>
      </w:pPr>
      <w:r w:rsidRPr="00636C3E">
        <w:rPr>
          <w:rFonts w:ascii="Times New Roman" w:hAnsi="Times New Roman" w:cs="Times New Roman"/>
        </w:rPr>
        <w:t xml:space="preserve">And the distinction is a hinge rather than a wall, which is the second thing to say about it. The densest theology in the Creed is in its second sentence — </w:t>
      </w:r>
      <w:r w:rsidRPr="00636C3E">
        <w:rPr>
          <w:rFonts w:ascii="Times New Roman" w:hAnsi="Times New Roman" w:cs="Times New Roman"/>
          <w:i/>
          <w:iCs/>
        </w:rPr>
        <w:t>eternally begotten of the Father, God from God, Light from Light, true God from true God, begotten, not made, of one Being with the Father</w:t>
      </w:r>
      <w:r w:rsidRPr="00636C3E">
        <w:rPr>
          <w:rFonts w:ascii="Times New Roman" w:hAnsi="Times New Roman" w:cs="Times New Roman"/>
        </w:rPr>
        <w:t xml:space="preserve"> — and that sentence is in Part Two. Theology does not stop at the break. It returns, in the one place where what G-d is in himself and what G-d is toward us stop being separable. The Son is where the hinge swings.</w:t>
      </w:r>
    </w:p>
    <w:p w14:paraId="4850BF58" w14:textId="77777777" w:rsidR="00FE4E2A" w:rsidRPr="00636C3E" w:rsidRDefault="00FE4E2A" w:rsidP="00FE4E2A">
      <w:pPr>
        <w:pStyle w:val="Heading2"/>
        <w:spacing w:before="420" w:after="160"/>
        <w:rPr>
          <w:rFonts w:ascii="Times New Roman" w:hAnsi="Times New Roman" w:cs="Times New Roman"/>
        </w:rPr>
      </w:pPr>
      <w:r w:rsidRPr="00636C3E">
        <w:rPr>
          <w:rFonts w:ascii="Times New Roman" w:hAnsi="Times New Roman" w:cs="Times New Roman"/>
          <w:b/>
          <w:bCs/>
        </w:rPr>
        <w:t>I. Of God the Father</w:t>
      </w:r>
    </w:p>
    <w:p w14:paraId="0FC3D23A" w14:textId="77777777" w:rsidR="00047F3B" w:rsidRPr="00FE4E2A" w:rsidRDefault="00047F3B" w:rsidP="00FE4E2A"/>
    <w:sectPr w:rsidR="00047F3B" w:rsidRPr="00FE4E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4774A" w14:textId="77777777" w:rsidR="00941D17" w:rsidRDefault="00941D17" w:rsidP="002B732A">
      <w:r>
        <w:separator/>
      </w:r>
    </w:p>
  </w:endnote>
  <w:endnote w:type="continuationSeparator" w:id="0">
    <w:p w14:paraId="05EA09C1" w14:textId="77777777" w:rsidR="00941D17" w:rsidRDefault="00941D17" w:rsidP="002B7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49F84" w14:textId="77777777" w:rsidR="00941D17" w:rsidRDefault="00941D17" w:rsidP="002B732A">
      <w:r>
        <w:separator/>
      </w:r>
    </w:p>
  </w:footnote>
  <w:footnote w:type="continuationSeparator" w:id="0">
    <w:p w14:paraId="7B13C737" w14:textId="77777777" w:rsidR="00941D17" w:rsidRDefault="00941D17" w:rsidP="002B732A">
      <w:r>
        <w:continuationSeparator/>
      </w:r>
    </w:p>
  </w:footnote>
  <w:footnote w:id="1">
    <w:p w14:paraId="5CC95EB8"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The body of the document carries what I am actually thinking when I say the words and the footnotes attempt to make those thoughts legible to other people and/or provide context that may be helpful. </w:t>
      </w:r>
    </w:p>
  </w:footnote>
  <w:footnote w:id="2">
    <w:p w14:paraId="3443AB2F" w14:textId="77777777" w:rsidR="00FE4E2A" w:rsidRPr="00130482" w:rsidRDefault="00FE4E2A" w:rsidP="00FE4E2A">
      <w:pPr>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Greek </w:t>
      </w:r>
      <w:r w:rsidRPr="00130482">
        <w:rPr>
          <w:rFonts w:ascii="Times New Roman" w:hAnsi="Times New Roman" w:cs="Times New Roman"/>
          <w:i/>
          <w:iCs/>
          <w:sz w:val="19"/>
          <w:szCs w:val="19"/>
        </w:rPr>
        <w:t>glōssa</w:t>
      </w:r>
      <w:r w:rsidRPr="00130482">
        <w:rPr>
          <w:rFonts w:ascii="Times New Roman" w:hAnsi="Times New Roman" w:cs="Times New Roman"/>
          <w:sz w:val="19"/>
          <w:szCs w:val="19"/>
        </w:rPr>
        <w:t xml:space="preserve">, tongue or language; in the grammatical tradition running from Aristotle onward, a </w:t>
      </w:r>
      <w:r w:rsidRPr="00130482">
        <w:rPr>
          <w:rFonts w:ascii="Times New Roman" w:hAnsi="Times New Roman" w:cs="Times New Roman"/>
          <w:i/>
          <w:iCs/>
          <w:sz w:val="19"/>
          <w:szCs w:val="19"/>
        </w:rPr>
        <w:t>glōssa</w:t>
      </w:r>
      <w:r w:rsidRPr="00130482">
        <w:rPr>
          <w:rFonts w:ascii="Times New Roman" w:hAnsi="Times New Roman" w:cs="Times New Roman"/>
          <w:sz w:val="19"/>
          <w:szCs w:val="19"/>
        </w:rPr>
        <w:t xml:space="preserve"> is specifically an obscure or foreign word requiring explanation, and a glossary collects them. The Latin </w:t>
      </w:r>
      <w:r w:rsidRPr="00130482">
        <w:rPr>
          <w:rFonts w:ascii="Times New Roman" w:hAnsi="Times New Roman" w:cs="Times New Roman"/>
          <w:i/>
          <w:iCs/>
          <w:sz w:val="19"/>
          <w:szCs w:val="19"/>
        </w:rPr>
        <w:t>glossa</w:t>
      </w:r>
      <w:r w:rsidRPr="00130482">
        <w:rPr>
          <w:rFonts w:ascii="Times New Roman" w:hAnsi="Times New Roman" w:cs="Times New Roman"/>
          <w:sz w:val="19"/>
          <w:szCs w:val="19"/>
        </w:rPr>
        <w:t xml:space="preserve"> and the medieval </w:t>
      </w:r>
      <w:r w:rsidRPr="00130482">
        <w:rPr>
          <w:rFonts w:ascii="Times New Roman" w:hAnsi="Times New Roman" w:cs="Times New Roman"/>
          <w:i/>
          <w:iCs/>
          <w:sz w:val="19"/>
          <w:szCs w:val="19"/>
        </w:rPr>
        <w:t>glossa ordinaria</w:t>
      </w:r>
      <w:r w:rsidRPr="00130482">
        <w:rPr>
          <w:rFonts w:ascii="Times New Roman" w:hAnsi="Times New Roman" w:cs="Times New Roman"/>
          <w:sz w:val="19"/>
          <w:szCs w:val="19"/>
        </w:rPr>
        <w:t xml:space="preserve"> — the marginal and interlinear commentary surrounding a biblical or legal text — carry the sense into English.</w:t>
      </w:r>
    </w:p>
  </w:footnote>
  <w:footnote w:id="3">
    <w:p w14:paraId="230B0AF5"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Deuteronomy 6:4–9, named for its first word: </w:t>
      </w:r>
      <w:r w:rsidRPr="00130482">
        <w:rPr>
          <w:rFonts w:ascii="Times New Roman" w:hAnsi="Times New Roman" w:cs="Times New Roman"/>
          <w:i/>
          <w:iCs/>
          <w:sz w:val="19"/>
          <w:szCs w:val="19"/>
        </w:rPr>
        <w:t>shema</w:t>
      </w:r>
      <w:r w:rsidRPr="00130482">
        <w:rPr>
          <w:rFonts w:ascii="Times New Roman" w:hAnsi="Times New Roman" w:cs="Times New Roman"/>
          <w:sz w:val="19"/>
          <w:szCs w:val="19"/>
        </w:rPr>
        <w:t>, hear. In Jewish praxis it is recited twice daily, morning and evening.</w:t>
      </w:r>
    </w:p>
  </w:footnote>
  <w:footnote w:id="4">
    <w:p w14:paraId="79B02D85"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1 Corinthians 8:6, written in the mid-fifties, before any of the Gospels. The Greek of Deuteronomy 6:4 reads </w:t>
      </w:r>
      <w:r w:rsidRPr="00130482">
        <w:rPr>
          <w:rFonts w:ascii="Times New Roman" w:hAnsi="Times New Roman" w:cs="Times New Roman"/>
          <w:i/>
          <w:iCs/>
          <w:sz w:val="19"/>
          <w:szCs w:val="19"/>
        </w:rPr>
        <w:t>kyrios ho theos hēmōn kyrios heis estin</w:t>
      </w:r>
      <w:r w:rsidRPr="00130482">
        <w:rPr>
          <w:rFonts w:ascii="Times New Roman" w:hAnsi="Times New Roman" w:cs="Times New Roman"/>
          <w:sz w:val="19"/>
          <w:szCs w:val="19"/>
        </w:rPr>
        <w:t xml:space="preserve"> — both </w:t>
      </w:r>
      <w:r w:rsidRPr="00130482">
        <w:rPr>
          <w:rFonts w:ascii="Times New Roman" w:hAnsi="Times New Roman" w:cs="Times New Roman"/>
          <w:i/>
          <w:iCs/>
          <w:sz w:val="19"/>
          <w:szCs w:val="19"/>
        </w:rPr>
        <w:t>theos</w:t>
      </w:r>
      <w:r w:rsidRPr="00130482">
        <w:rPr>
          <w:rFonts w:ascii="Times New Roman" w:hAnsi="Times New Roman" w:cs="Times New Roman"/>
          <w:sz w:val="19"/>
          <w:szCs w:val="19"/>
        </w:rPr>
        <w:t xml:space="preserve"> and </w:t>
      </w:r>
      <w:r w:rsidRPr="00130482">
        <w:rPr>
          <w:rFonts w:ascii="Times New Roman" w:hAnsi="Times New Roman" w:cs="Times New Roman"/>
          <w:i/>
          <w:iCs/>
          <w:sz w:val="19"/>
          <w:szCs w:val="19"/>
        </w:rPr>
        <w:t>kyrios</w:t>
      </w:r>
      <w:r w:rsidRPr="00130482">
        <w:rPr>
          <w:rFonts w:ascii="Times New Roman" w:hAnsi="Times New Roman" w:cs="Times New Roman"/>
          <w:sz w:val="19"/>
          <w:szCs w:val="19"/>
        </w:rPr>
        <w:t xml:space="preserve"> standing in for the Divine Name. Paul takes the verse apart and distributes it: </w:t>
      </w:r>
      <w:r w:rsidRPr="00130482">
        <w:rPr>
          <w:rFonts w:ascii="Times New Roman" w:hAnsi="Times New Roman" w:cs="Times New Roman"/>
          <w:i/>
          <w:iCs/>
          <w:sz w:val="19"/>
          <w:szCs w:val="19"/>
        </w:rPr>
        <w:t>one God, the Father, from whom are all things</w:t>
      </w:r>
      <w:r w:rsidRPr="00130482">
        <w:rPr>
          <w:rFonts w:ascii="Times New Roman" w:hAnsi="Times New Roman" w:cs="Times New Roman"/>
          <w:sz w:val="19"/>
          <w:szCs w:val="19"/>
        </w:rPr>
        <w:t xml:space="preserve">, and </w:t>
      </w:r>
      <w:r w:rsidRPr="00130482">
        <w:rPr>
          <w:rFonts w:ascii="Times New Roman" w:hAnsi="Times New Roman" w:cs="Times New Roman"/>
          <w:i/>
          <w:iCs/>
          <w:sz w:val="19"/>
          <w:szCs w:val="19"/>
        </w:rPr>
        <w:t>one Lord, Jesus Christ, through whom are all things</w:t>
      </w:r>
      <w:r w:rsidRPr="00130482">
        <w:rPr>
          <w:rFonts w:ascii="Times New Roman" w:hAnsi="Times New Roman" w:cs="Times New Roman"/>
          <w:sz w:val="19"/>
          <w:szCs w:val="19"/>
        </w:rPr>
        <w:t>. The Creed inherits the distribution.</w:t>
      </w:r>
    </w:p>
  </w:footnote>
  <w:footnote w:id="5">
    <w:p w14:paraId="76CF4352"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This is less elegant for the Creed, as it leaves nothing for the Spirit and uses Lord a second time, a fact that hasn’t set right with me since I was a boy.</w:t>
      </w:r>
    </w:p>
  </w:footnote>
  <w:footnote w:id="6">
    <w:p w14:paraId="0856924F"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Deuteronomy 6:8–9. The hand and the eyes are </w:t>
      </w:r>
      <w:r w:rsidRPr="00130482">
        <w:rPr>
          <w:rFonts w:ascii="Times New Roman" w:hAnsi="Times New Roman" w:cs="Times New Roman"/>
          <w:i/>
          <w:iCs/>
          <w:sz w:val="19"/>
          <w:szCs w:val="19"/>
        </w:rPr>
        <w:t>tefillin</w:t>
      </w:r>
      <w:r w:rsidRPr="00130482">
        <w:rPr>
          <w:rFonts w:ascii="Times New Roman" w:hAnsi="Times New Roman" w:cs="Times New Roman"/>
          <w:sz w:val="19"/>
          <w:szCs w:val="19"/>
        </w:rPr>
        <w:t xml:space="preserve"> — black leather boxes holding four passages of Scripture written on parchment, bound to the arm and worn on the head; the doorposts are the </w:t>
      </w:r>
      <w:r w:rsidRPr="00130482">
        <w:rPr>
          <w:rFonts w:ascii="Times New Roman" w:hAnsi="Times New Roman" w:cs="Times New Roman"/>
          <w:i/>
          <w:iCs/>
          <w:sz w:val="19"/>
          <w:szCs w:val="19"/>
        </w:rPr>
        <w:t>mezuzah</w:t>
      </w:r>
      <w:r w:rsidRPr="00130482">
        <w:rPr>
          <w:rFonts w:ascii="Times New Roman" w:hAnsi="Times New Roman" w:cs="Times New Roman"/>
          <w:sz w:val="19"/>
          <w:szCs w:val="19"/>
        </w:rPr>
        <w:t xml:space="preserve">. The passages inside are Exodus 13:1–10 and 13:11–16 together with the first two paragraphs of the </w:t>
      </w:r>
      <w:r w:rsidRPr="00130482">
        <w:rPr>
          <w:rFonts w:ascii="Times New Roman" w:hAnsi="Times New Roman" w:cs="Times New Roman"/>
          <w:i/>
          <w:iCs/>
          <w:sz w:val="19"/>
          <w:szCs w:val="19"/>
        </w:rPr>
        <w:t>Shema</w:t>
      </w:r>
      <w:r w:rsidRPr="00130482">
        <w:rPr>
          <w:rFonts w:ascii="Times New Roman" w:hAnsi="Times New Roman" w:cs="Times New Roman"/>
          <w:sz w:val="19"/>
          <w:szCs w:val="19"/>
        </w:rPr>
        <w:t>, so the object contains the instruction that produced it.</w:t>
      </w:r>
    </w:p>
  </w:footnote>
  <w:footnote w:id="7">
    <w:p w14:paraId="7C379B5D" w14:textId="77777777" w:rsidR="00FE4E2A" w:rsidRPr="00440AB3" w:rsidRDefault="00FE4E2A" w:rsidP="00FE4E2A">
      <w:pPr>
        <w:pStyle w:val="FootnoteText"/>
        <w:rPr>
          <w:rFonts w:ascii="Times New Roman" w:hAnsi="Times New Roman" w:cs="Times New Roman"/>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Pr>
          <w:rFonts w:ascii="Times New Roman" w:hAnsi="Times New Roman" w:cs="Times New Roman"/>
          <w:sz w:val="19"/>
          <w:szCs w:val="19"/>
        </w:rPr>
        <w:t>T</w:t>
      </w:r>
      <w:r w:rsidRPr="00130482">
        <w:rPr>
          <w:rFonts w:ascii="Times New Roman" w:hAnsi="Times New Roman" w:cs="Times New Roman"/>
          <w:sz w:val="19"/>
          <w:szCs w:val="19"/>
        </w:rPr>
        <w:t xml:space="preserve">he purpose of “religion” </w:t>
      </w:r>
      <w:r>
        <w:rPr>
          <w:rFonts w:ascii="Times New Roman" w:hAnsi="Times New Roman" w:cs="Times New Roman"/>
          <w:sz w:val="19"/>
          <w:szCs w:val="19"/>
        </w:rPr>
        <w:t xml:space="preserve">for most </w:t>
      </w:r>
      <w:r w:rsidRPr="00130482">
        <w:rPr>
          <w:rFonts w:ascii="Times New Roman" w:hAnsi="Times New Roman" w:cs="Times New Roman"/>
          <w:sz w:val="19"/>
          <w:szCs w:val="19"/>
        </w:rPr>
        <w:t xml:space="preserve">Romans </w:t>
      </w:r>
      <w:r>
        <w:rPr>
          <w:rFonts w:ascii="Times New Roman" w:hAnsi="Times New Roman" w:cs="Times New Roman"/>
          <w:sz w:val="19"/>
          <w:szCs w:val="19"/>
        </w:rPr>
        <w:t>seems to have been</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 xml:space="preserve">pax deorum, </w:t>
      </w:r>
      <w:r w:rsidRPr="00130482">
        <w:rPr>
          <w:rFonts w:ascii="Times New Roman" w:hAnsi="Times New Roman" w:cs="Times New Roman"/>
          <w:sz w:val="19"/>
          <w:szCs w:val="19"/>
        </w:rPr>
        <w:t>“peace with the gods</w:t>
      </w:r>
      <w:r>
        <w:rPr>
          <w:rFonts w:ascii="Times New Roman" w:hAnsi="Times New Roman" w:cs="Times New Roman"/>
          <w:sz w:val="19"/>
          <w:szCs w:val="19"/>
        </w:rPr>
        <w:t>,</w:t>
      </w:r>
      <w:r w:rsidRPr="00130482">
        <w:rPr>
          <w:rFonts w:ascii="Times New Roman" w:hAnsi="Times New Roman" w:cs="Times New Roman"/>
          <w:sz w:val="19"/>
          <w:szCs w:val="19"/>
        </w:rPr>
        <w:t>”</w:t>
      </w:r>
      <w:r>
        <w:rPr>
          <w:rFonts w:ascii="Times New Roman" w:hAnsi="Times New Roman" w:cs="Times New Roman"/>
          <w:sz w:val="19"/>
          <w:szCs w:val="19"/>
        </w:rPr>
        <w:t xml:space="preserve"> a civil affair little concerned with personal belief and leveraging civic prosperity, fertility, and military success.</w:t>
      </w:r>
    </w:p>
  </w:footnote>
  <w:footnote w:id="8">
    <w:p w14:paraId="7C50479A"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The Mishnah asks why Deuteronomy 6:4–9 precedes 11:13–21 and answers that one first accepts the yoke of the kingdom of heaven and only afterward the yoke of the commandments</w:t>
      </w:r>
      <w:r>
        <w:rPr>
          <w:rFonts w:ascii="Times New Roman" w:hAnsi="Times New Roman" w:cs="Times New Roman"/>
          <w:sz w:val="19"/>
          <w:szCs w:val="19"/>
        </w:rPr>
        <w:t>.</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Berakhot</w:t>
      </w:r>
      <w:r w:rsidRPr="00130482">
        <w:rPr>
          <w:rFonts w:ascii="Times New Roman" w:hAnsi="Times New Roman" w:cs="Times New Roman"/>
          <w:sz w:val="19"/>
          <w:szCs w:val="19"/>
        </w:rPr>
        <w:t xml:space="preserve"> 2:2). The order is the argument: the kingship is accepted before anything is asked.</w:t>
      </w:r>
    </w:p>
  </w:footnote>
  <w:footnote w:id="9">
    <w:p w14:paraId="2ED7D2DC"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Rashi (Rabbi Shlomo Yitzchaki, c. 1040–1105), of Troyes in Champagne, and Abraham ben Meir Ibn Ezra (c. 1089–1167), born at Tudela and a wanderer for most of his life.</w:t>
      </w:r>
    </w:p>
  </w:footnote>
  <w:footnote w:id="10">
    <w:p w14:paraId="28C11BC3" w14:textId="77777777" w:rsidR="00FE4E2A" w:rsidRPr="00130482" w:rsidRDefault="00FE4E2A" w:rsidP="00FE4E2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Rashi reads </w:t>
      </w:r>
      <w:r w:rsidRPr="00130482">
        <w:rPr>
          <w:rFonts w:ascii="Times New Roman" w:hAnsi="Times New Roman" w:cs="Times New Roman"/>
          <w:i/>
          <w:iCs/>
          <w:sz w:val="19"/>
          <w:szCs w:val="19"/>
        </w:rPr>
        <w:t>Hashem echad</w:t>
      </w:r>
      <w:r w:rsidRPr="00130482">
        <w:rPr>
          <w:rFonts w:ascii="Times New Roman" w:hAnsi="Times New Roman" w:cs="Times New Roman"/>
          <w:sz w:val="19"/>
          <w:szCs w:val="19"/>
        </w:rPr>
        <w:t xml:space="preserve"> eschatologically — that G-d is the only G-d now and will be acknowledged as such by all the nations in time to come, echoing Zechariah 14:9. Ibn Ezra reads it as a claim about metaphysical simplicity: not composed of parts, not bounded by time or place. Two readings that could hardly be further apart, and simplicity is the difficulty any Trinitarian account faces. Note: sometimes Christian apologists say </w:t>
      </w:r>
      <w:r w:rsidRPr="00130482">
        <w:rPr>
          <w:rFonts w:ascii="Times New Roman" w:hAnsi="Times New Roman" w:cs="Times New Roman"/>
          <w:i/>
          <w:iCs/>
          <w:sz w:val="19"/>
          <w:szCs w:val="19"/>
        </w:rPr>
        <w:t>echad</w:t>
      </w:r>
      <w:r w:rsidRPr="00130482">
        <w:rPr>
          <w:rFonts w:ascii="Times New Roman" w:hAnsi="Times New Roman" w:cs="Times New Roman"/>
          <w:sz w:val="19"/>
          <w:szCs w:val="19"/>
        </w:rPr>
        <w:t xml:space="preserve"> does occur of composites elsewhere (</w:t>
      </w:r>
      <w:r w:rsidRPr="00130482">
        <w:rPr>
          <w:rFonts w:ascii="Times New Roman" w:hAnsi="Times New Roman" w:cs="Times New Roman"/>
          <w:i/>
          <w:iCs/>
          <w:sz w:val="19"/>
          <w:szCs w:val="19"/>
        </w:rPr>
        <w:t>basar echad</w:t>
      </w:r>
      <w:r w:rsidRPr="00130482">
        <w:rPr>
          <w:rFonts w:ascii="Times New Roman" w:hAnsi="Times New Roman" w:cs="Times New Roman"/>
          <w:sz w:val="19"/>
          <w:szCs w:val="19"/>
        </w:rPr>
        <w:t>, one flesh, at Genesis 2:24), but the inference from that to a compound unity in G-d is not available, because Maimonides had already ruled out the whole class of comparison — G-d's oneness is not the oneness of a species, or of a body with parts, or of anything else that can be counted alongside something (</w:t>
      </w:r>
      <w:r w:rsidRPr="00130482">
        <w:rPr>
          <w:rFonts w:ascii="Times New Roman" w:hAnsi="Times New Roman" w:cs="Times New Roman"/>
          <w:i/>
          <w:iCs/>
          <w:sz w:val="19"/>
          <w:szCs w:val="19"/>
        </w:rPr>
        <w:t>Mishneh Torah</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Yesodei ha-Torah</w:t>
      </w:r>
      <w:r w:rsidRPr="00130482">
        <w:rPr>
          <w:rFonts w:ascii="Times New Roman" w:hAnsi="Times New Roman" w:cs="Times New Roman"/>
          <w:sz w:val="19"/>
          <w:szCs w:val="19"/>
        </w:rPr>
        <w:t xml:space="preserve"> 1:7).</w:t>
      </w:r>
    </w:p>
  </w:footnote>
  <w:footnote w:id="11">
    <w:p w14:paraId="1352D984" w14:textId="77777777" w:rsidR="00FE4E2A" w:rsidRPr="000F6113" w:rsidRDefault="00FE4E2A" w:rsidP="00FE4E2A">
      <w:pPr>
        <w:pStyle w:val="FootnoteText"/>
        <w:rPr>
          <w:rFonts w:ascii="Times New Roman" w:hAnsi="Times New Roman" w:cs="Times New Roman"/>
          <w:sz w:val="19"/>
          <w:szCs w:val="19"/>
        </w:rPr>
      </w:pPr>
      <w:r w:rsidRPr="000F6113">
        <w:rPr>
          <w:rStyle w:val="FootnoteReference"/>
          <w:rFonts w:ascii="Times New Roman" w:hAnsi="Times New Roman" w:cs="Times New Roman"/>
          <w:sz w:val="19"/>
          <w:szCs w:val="19"/>
        </w:rPr>
        <w:footnoteRef/>
      </w:r>
      <w:r w:rsidRPr="000F6113">
        <w:rPr>
          <w:rFonts w:ascii="Times New Roman" w:hAnsi="Times New Roman" w:cs="Times New Roman"/>
          <w:sz w:val="19"/>
          <w:szCs w:val="19"/>
        </w:rPr>
        <w:t xml:space="preserve"> The Sanskrit word for pulse, throb, or vibration.</w:t>
      </w:r>
    </w:p>
  </w:footnote>
  <w:footnote w:id="12">
    <w:p w14:paraId="6C6F4FFA" w14:textId="77777777" w:rsidR="00FE4E2A" w:rsidRPr="007306BA" w:rsidRDefault="00FE4E2A" w:rsidP="00FE4E2A">
      <w:pPr>
        <w:rPr>
          <w:rFonts w:ascii="Times New Roman" w:hAnsi="Times New Roman" w:cs="Times New Roman"/>
          <w:sz w:val="18"/>
          <w:szCs w:val="18"/>
        </w:rPr>
      </w:pPr>
      <w:r w:rsidRPr="007306BA">
        <w:rPr>
          <w:rStyle w:val="FootnoteReference"/>
          <w:rFonts w:ascii="Times New Roman" w:hAnsi="Times New Roman" w:cs="Times New Roman"/>
          <w:sz w:val="18"/>
          <w:szCs w:val="18"/>
        </w:rPr>
        <w:footnoteRef/>
      </w:r>
      <w:r w:rsidRPr="007306BA">
        <w:rPr>
          <w:rFonts w:ascii="Times New Roman" w:hAnsi="Times New Roman" w:cs="Times New Roman"/>
          <w:sz w:val="18"/>
          <w:szCs w:val="18"/>
        </w:rPr>
        <w:t xml:space="preserve">The distinction as a settled pair owes a good deal to twentieth-century retrieval and enters official teaching at </w:t>
      </w:r>
      <w:r w:rsidRPr="007306BA">
        <w:rPr>
          <w:rFonts w:ascii="Times New Roman" w:hAnsi="Times New Roman" w:cs="Times New Roman"/>
          <w:i/>
          <w:iCs/>
          <w:sz w:val="18"/>
          <w:szCs w:val="18"/>
        </w:rPr>
        <w:t>CCC</w:t>
      </w:r>
      <w:r w:rsidRPr="007306BA">
        <w:rPr>
          <w:rFonts w:ascii="Times New Roman" w:hAnsi="Times New Roman" w:cs="Times New Roman"/>
          <w:sz w:val="18"/>
          <w:szCs w:val="18"/>
        </w:rPr>
        <w:t xml:space="preserve"> §236. The vocabulary is older. </w:t>
      </w:r>
      <w:r w:rsidRPr="007306BA">
        <w:rPr>
          <w:rFonts w:ascii="Times New Roman" w:hAnsi="Times New Roman" w:cs="Times New Roman"/>
          <w:i/>
          <w:iCs/>
          <w:sz w:val="18"/>
          <w:szCs w:val="18"/>
        </w:rPr>
        <w:t>Theologia</w:t>
      </w:r>
      <w:r w:rsidRPr="007306BA">
        <w:rPr>
          <w:rFonts w:ascii="Times New Roman" w:hAnsi="Times New Roman" w:cs="Times New Roman"/>
          <w:sz w:val="18"/>
          <w:szCs w:val="18"/>
        </w:rPr>
        <w:t xml:space="preserve"> is Plato’s word (</w:t>
      </w:r>
      <w:r w:rsidRPr="007306BA">
        <w:rPr>
          <w:rFonts w:ascii="Times New Roman" w:hAnsi="Times New Roman" w:cs="Times New Roman"/>
          <w:i/>
          <w:iCs/>
          <w:sz w:val="18"/>
          <w:szCs w:val="18"/>
        </w:rPr>
        <w:t>Republic</w:t>
      </w:r>
      <w:r w:rsidRPr="007306BA">
        <w:rPr>
          <w:rFonts w:ascii="Times New Roman" w:hAnsi="Times New Roman" w:cs="Times New Roman"/>
          <w:sz w:val="18"/>
          <w:szCs w:val="18"/>
        </w:rPr>
        <w:t xml:space="preserve"> 379a) for right speech about the gods and Aristotle’s name for first philosophy (</w:t>
      </w:r>
      <w:r w:rsidRPr="007306BA">
        <w:rPr>
          <w:rFonts w:ascii="Times New Roman" w:hAnsi="Times New Roman" w:cs="Times New Roman"/>
          <w:i/>
          <w:iCs/>
          <w:sz w:val="18"/>
          <w:szCs w:val="18"/>
        </w:rPr>
        <w:t>Metaphysics</w:t>
      </w:r>
      <w:r w:rsidRPr="007306BA">
        <w:rPr>
          <w:rFonts w:ascii="Times New Roman" w:hAnsi="Times New Roman" w:cs="Times New Roman"/>
          <w:sz w:val="18"/>
          <w:szCs w:val="18"/>
        </w:rPr>
        <w:t xml:space="preserve"> E.1); </w:t>
      </w:r>
      <w:r w:rsidRPr="007306BA">
        <w:rPr>
          <w:rFonts w:ascii="Times New Roman" w:hAnsi="Times New Roman" w:cs="Times New Roman"/>
          <w:i/>
          <w:iCs/>
          <w:sz w:val="18"/>
          <w:szCs w:val="18"/>
        </w:rPr>
        <w:t>oikonomia</w:t>
      </w:r>
      <w:r w:rsidRPr="007306BA">
        <w:rPr>
          <w:rFonts w:ascii="Times New Roman" w:hAnsi="Times New Roman" w:cs="Times New Roman"/>
          <w:sz w:val="18"/>
          <w:szCs w:val="18"/>
        </w:rPr>
        <w:t xml:space="preserve"> is household management, taken up by Paul for the arrangement of the ages (Eph. 1:10, 3:9; Col. 1:25) and by Ignatius for the conception of Christ </w:t>
      </w:r>
      <w:r w:rsidRPr="007306BA">
        <w:rPr>
          <w:rFonts w:ascii="Times New Roman" w:hAnsi="Times New Roman" w:cs="Times New Roman"/>
          <w:i/>
          <w:iCs/>
          <w:sz w:val="18"/>
          <w:szCs w:val="18"/>
        </w:rPr>
        <w:t>kat’ oikonomian theou</w:t>
      </w:r>
      <w:r w:rsidRPr="007306BA">
        <w:rPr>
          <w:rFonts w:ascii="Times New Roman" w:hAnsi="Times New Roman" w:cs="Times New Roman"/>
          <w:sz w:val="18"/>
          <w:szCs w:val="18"/>
        </w:rPr>
        <w:t xml:space="preserve"> (</w:t>
      </w:r>
      <w:r w:rsidRPr="007306BA">
        <w:rPr>
          <w:rFonts w:ascii="Times New Roman" w:hAnsi="Times New Roman" w:cs="Times New Roman"/>
          <w:i/>
          <w:iCs/>
          <w:sz w:val="18"/>
          <w:szCs w:val="18"/>
        </w:rPr>
        <w:t>Eph.</w:t>
      </w:r>
      <w:r w:rsidRPr="007306BA">
        <w:rPr>
          <w:rFonts w:ascii="Times New Roman" w:hAnsi="Times New Roman" w:cs="Times New Roman"/>
          <w:sz w:val="18"/>
          <w:szCs w:val="18"/>
        </w:rPr>
        <w:t xml:space="preserve"> 18:2). By the fourth century the narrowing is in place. One caution against my own use of it: </w:t>
      </w:r>
      <w:r w:rsidRPr="007306BA">
        <w:rPr>
          <w:rFonts w:ascii="Times New Roman" w:hAnsi="Times New Roman" w:cs="Times New Roman"/>
          <w:i/>
          <w:iCs/>
          <w:sz w:val="18"/>
          <w:szCs w:val="18"/>
        </w:rPr>
        <w:t>oikonomia</w:t>
      </w:r>
      <w:r w:rsidRPr="007306BA">
        <w:rPr>
          <w:rFonts w:ascii="Times New Roman" w:hAnsi="Times New Roman" w:cs="Times New Roman"/>
          <w:sz w:val="18"/>
          <w:szCs w:val="18"/>
        </w:rPr>
        <w:t xml:space="preserve"> carries a second range — divine condescension to human capacity, and later the disciplinary sense against </w:t>
      </w:r>
      <w:r w:rsidRPr="007306BA">
        <w:rPr>
          <w:rFonts w:ascii="Times New Roman" w:hAnsi="Times New Roman" w:cs="Times New Roman"/>
          <w:i/>
          <w:iCs/>
          <w:sz w:val="18"/>
          <w:szCs w:val="18"/>
        </w:rPr>
        <w:t>akribeia</w:t>
      </w:r>
      <w:r w:rsidRPr="007306BA">
        <w:rPr>
          <w:rFonts w:ascii="Times New Roman" w:hAnsi="Times New Roman" w:cs="Times New Roman"/>
          <w:sz w:val="18"/>
          <w:szCs w:val="18"/>
        </w:rPr>
        <w:t xml:space="preserve"> — which the clean pairing suppresses.</w:t>
      </w:r>
    </w:p>
  </w:footnote>
  <w:footnote w:id="13">
    <w:p w14:paraId="055C1E6A" w14:textId="77777777" w:rsidR="00FE4E2A" w:rsidRPr="007306BA" w:rsidRDefault="00FE4E2A" w:rsidP="00FE4E2A">
      <w:pPr>
        <w:rPr>
          <w:rFonts w:ascii="Times New Roman" w:hAnsi="Times New Roman" w:cs="Times New Roman"/>
          <w:sz w:val="18"/>
          <w:szCs w:val="18"/>
        </w:rPr>
      </w:pPr>
      <w:r w:rsidRPr="007306BA">
        <w:rPr>
          <w:rStyle w:val="FootnoteReference"/>
          <w:rFonts w:ascii="Times New Roman" w:hAnsi="Times New Roman" w:cs="Times New Roman"/>
          <w:sz w:val="18"/>
          <w:szCs w:val="18"/>
        </w:rPr>
        <w:footnoteRef/>
      </w:r>
      <w:r w:rsidRPr="007306BA">
        <w:rPr>
          <w:rFonts w:ascii="Times New Roman" w:hAnsi="Times New Roman" w:cs="Times New Roman"/>
          <w:sz w:val="18"/>
          <w:szCs w:val="18"/>
        </w:rPr>
        <w:t xml:space="preserve">Ephesians 3:14–15, where the Father is the one from whom every </w:t>
      </w:r>
      <w:r w:rsidRPr="007306BA">
        <w:rPr>
          <w:rFonts w:ascii="Times New Roman" w:hAnsi="Times New Roman" w:cs="Times New Roman"/>
          <w:i/>
          <w:iCs/>
          <w:sz w:val="18"/>
          <w:szCs w:val="18"/>
        </w:rPr>
        <w:t>patria</w:t>
      </w:r>
      <w:r w:rsidRPr="007306BA">
        <w:rPr>
          <w:rFonts w:ascii="Times New Roman" w:hAnsi="Times New Roman" w:cs="Times New Roman"/>
          <w:sz w:val="18"/>
          <w:szCs w:val="18"/>
        </w:rPr>
        <w:t xml:space="preserve"> in heaven and on earth is named. The pun is in the Greek: </w:t>
      </w:r>
      <w:r w:rsidRPr="007306BA">
        <w:rPr>
          <w:rFonts w:ascii="Times New Roman" w:hAnsi="Times New Roman" w:cs="Times New Roman"/>
          <w:i/>
          <w:iCs/>
          <w:sz w:val="18"/>
          <w:szCs w:val="18"/>
        </w:rPr>
        <w:t>patria</w:t>
      </w:r>
      <w:r w:rsidRPr="007306BA">
        <w:rPr>
          <w:rFonts w:ascii="Times New Roman" w:hAnsi="Times New Roman" w:cs="Times New Roman"/>
          <w:sz w:val="18"/>
          <w:szCs w:val="18"/>
        </w:rPr>
        <w:t xml:space="preserve"> from </w:t>
      </w:r>
      <w:r w:rsidRPr="007306BA">
        <w:rPr>
          <w:rFonts w:ascii="Times New Roman" w:hAnsi="Times New Roman" w:cs="Times New Roman"/>
          <w:i/>
          <w:iCs/>
          <w:sz w:val="18"/>
          <w:szCs w:val="18"/>
        </w:rPr>
        <w:t>patēr</w:t>
      </w:r>
      <w:r w:rsidRPr="007306BA">
        <w:rPr>
          <w:rFonts w:ascii="Times New Roman" w:hAnsi="Times New Roman" w:cs="Times New Roman"/>
          <w:sz w:val="18"/>
          <w:szCs w:val="18"/>
        </w:rPr>
        <w:t>. And the construction is anarthrous and distributive — every family, not “the whole family” as the King James has it — which is what makes the creaturely instance named from the archetype rather than the archetype inferred from the instance.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2A"/>
    <w:rsid w:val="00032932"/>
    <w:rsid w:val="00047F3B"/>
    <w:rsid w:val="002B732A"/>
    <w:rsid w:val="00765ACF"/>
    <w:rsid w:val="00812FA9"/>
    <w:rsid w:val="008D2862"/>
    <w:rsid w:val="00941D17"/>
    <w:rsid w:val="00B67412"/>
    <w:rsid w:val="00C8208C"/>
    <w:rsid w:val="00FE4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9D68"/>
  <w15:chartTrackingRefBased/>
  <w15:docId w15:val="{5F9FA0A3-8719-4DA7-8240-3078AC7C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32A"/>
    <w:pPr>
      <w:spacing w:after="0" w:line="240" w:lineRule="auto"/>
    </w:pPr>
    <w:rPr>
      <w:rFonts w:ascii="Georgia" w:eastAsia="Georgia" w:hAnsi="Georgia" w:cs="Georgia"/>
      <w:kern w:val="0"/>
      <w:sz w:val="23"/>
      <w:szCs w:val="23"/>
      <w14:ligatures w14:val="none"/>
    </w:rPr>
  </w:style>
  <w:style w:type="paragraph" w:styleId="Heading1">
    <w:name w:val="heading 1"/>
    <w:basedOn w:val="Normal"/>
    <w:next w:val="Normal"/>
    <w:link w:val="Heading1Char"/>
    <w:uiPriority w:val="9"/>
    <w:qFormat/>
    <w:rsid w:val="002B732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732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732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732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B732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B732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B732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B732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B732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32A"/>
    <w:rPr>
      <w:rFonts w:eastAsiaTheme="majorEastAsia" w:cstheme="majorBidi"/>
      <w:color w:val="272727" w:themeColor="text1" w:themeTint="D8"/>
    </w:rPr>
  </w:style>
  <w:style w:type="paragraph" w:styleId="Title">
    <w:name w:val="Title"/>
    <w:basedOn w:val="Normal"/>
    <w:next w:val="Normal"/>
    <w:link w:val="TitleChar"/>
    <w:uiPriority w:val="10"/>
    <w:qFormat/>
    <w:rsid w:val="002B732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7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3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7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32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B732A"/>
    <w:rPr>
      <w:i/>
      <w:iCs/>
      <w:color w:val="404040" w:themeColor="text1" w:themeTint="BF"/>
    </w:rPr>
  </w:style>
  <w:style w:type="paragraph" w:styleId="ListParagraph">
    <w:name w:val="List Paragraph"/>
    <w:basedOn w:val="Normal"/>
    <w:uiPriority w:val="34"/>
    <w:qFormat/>
    <w:rsid w:val="002B732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B732A"/>
    <w:rPr>
      <w:i/>
      <w:iCs/>
      <w:color w:val="0F4761" w:themeColor="accent1" w:themeShade="BF"/>
    </w:rPr>
  </w:style>
  <w:style w:type="paragraph" w:styleId="IntenseQuote">
    <w:name w:val="Intense Quote"/>
    <w:basedOn w:val="Normal"/>
    <w:next w:val="Normal"/>
    <w:link w:val="IntenseQuoteChar"/>
    <w:uiPriority w:val="30"/>
    <w:qFormat/>
    <w:rsid w:val="002B73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B732A"/>
    <w:rPr>
      <w:i/>
      <w:iCs/>
      <w:color w:val="0F4761" w:themeColor="accent1" w:themeShade="BF"/>
    </w:rPr>
  </w:style>
  <w:style w:type="character" w:styleId="IntenseReference">
    <w:name w:val="Intense Reference"/>
    <w:basedOn w:val="DefaultParagraphFont"/>
    <w:uiPriority w:val="32"/>
    <w:qFormat/>
    <w:rsid w:val="002B732A"/>
    <w:rPr>
      <w:b/>
      <w:bCs/>
      <w:smallCaps/>
      <w:color w:val="0F4761" w:themeColor="accent1" w:themeShade="BF"/>
      <w:spacing w:val="5"/>
    </w:rPr>
  </w:style>
  <w:style w:type="character" w:styleId="FootnoteReference">
    <w:name w:val="footnote reference"/>
    <w:uiPriority w:val="99"/>
    <w:semiHidden/>
    <w:unhideWhenUsed/>
    <w:rsid w:val="002B732A"/>
    <w:rPr>
      <w:vertAlign w:val="superscript"/>
    </w:rPr>
  </w:style>
  <w:style w:type="paragraph" w:styleId="FootnoteText">
    <w:name w:val="footnote text"/>
    <w:link w:val="FootnoteTextChar"/>
    <w:uiPriority w:val="99"/>
    <w:semiHidden/>
    <w:unhideWhenUsed/>
    <w:rsid w:val="002B732A"/>
    <w:pPr>
      <w:spacing w:after="0" w:line="240" w:lineRule="auto"/>
    </w:pPr>
    <w:rPr>
      <w:rFonts w:ascii="Georgia" w:eastAsia="Georgia" w:hAnsi="Georgia" w:cs="Georgia"/>
      <w:kern w:val="0"/>
      <w:sz w:val="20"/>
      <w:szCs w:val="20"/>
      <w14:ligatures w14:val="none"/>
    </w:rPr>
  </w:style>
  <w:style w:type="character" w:customStyle="1" w:styleId="FootnoteTextChar">
    <w:name w:val="Footnote Text Char"/>
    <w:basedOn w:val="DefaultParagraphFont"/>
    <w:link w:val="FootnoteText"/>
    <w:uiPriority w:val="99"/>
    <w:semiHidden/>
    <w:rsid w:val="002B732A"/>
    <w:rPr>
      <w:rFonts w:ascii="Georgia" w:eastAsia="Georgia" w:hAnsi="Georgia" w:cs="Georg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4</cp:revision>
  <dcterms:created xsi:type="dcterms:W3CDTF">2026-09-19T19:04:00Z</dcterms:created>
  <dcterms:modified xsi:type="dcterms:W3CDTF">2026-09-21T01:44:00Z</dcterms:modified>
</cp:coreProperties>
</file>