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SPICE Earth: Capital Gains Tax Architecture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Working Analysis — Act III Tax Treatment of S-Token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Under current US tax law, every conversion between a crypto-native S-token and USD is a property disposition triggering capital gains liability and reporting. This is fatal to a UBI-style spending instrument unless the architecture sidesteps property treatment entirely.</w:t>
      </w:r>
    </w:p>
    <w:p>
      <w:pPr>
        <w:spacing w:after="120"/>
      </w:pPr>
      <w:r>
        <w:t xml:space="preserve">Through iterative analysis, the following architecture emerges as the strongest candidate for Earth Spice: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Closed-loop, non-tradeable S-token</w:t>
      </w:r>
      <w:r>
        <w:t xml:space="preserve"> — spendable only within the SPICE merchant network, auto-converts to USDC on attempted external transfer, never held by users as a tradable asset.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501(c)(3) issuer (the Fisc within the SPICE Foundation)</w:t>
      </w:r>
      <w:r>
        <w:t xml:space="preserve"> — distributes S as UBI under general welfare exclusion; receipt-side taxation is structurally avoided.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Foundation-as-bill-payer-of-record for external commerce</w:t>
      </w:r>
      <w:r>
        <w:t xml:space="preserve"> — user instructs the Foundation to pay external vendors (Amazon, etc.); Foundation pays from its own USDC reserves; user never disposes of property. Modeled on HSA/FSA/529 plan architectures with decades of IRS acceptance.</w:t>
      </w:r>
    </w:p>
    <w:p>
      <w:pPr>
        <w:spacing w:after="120"/>
      </w:pPr>
      <w:r>
        <w:t xml:space="preserve">Net result: in-network spending and Foundation-mediated external commerce are not taxable events. Only true exits from the SPICE economy (cash-outs to liquid USDC in user wallets, gifts to non-members, account closure) trigger conversion-based gain recognition. These become rare lifecycle events rather than frequent friction.</w:t>
      </w:r>
    </w:p>
    <w:p>
      <w:r>
        <w:t xml:space="preserve"/>
      </w:r>
    </w:p>
    <w:p>
      <w:pPr>
        <w:pStyle w:val="Heading1"/>
      </w:pPr>
      <w:r>
        <w:t xml:space="preserve">The Problem</w:t>
      </w:r>
    </w:p>
    <w:p>
      <w:pPr>
        <w:pStyle w:val="Heading2"/>
      </w:pPr>
      <w:r>
        <w:t xml:space="preserve">Initial concern</w:t>
      </w:r>
    </w:p>
    <w:p>
      <w:pPr>
        <w:spacing w:after="120"/>
      </w:pPr>
      <w:r>
        <w:t xml:space="preserve">In a standard crypto-property tax regime, every S→USD swap and every S→goods purchase is a separate disposition requiring basis tracking and gain/loss calculation. IRS Notice 2014-21 established that digital assets are property; this treatment has never been relaxed for general-purpose tokens.</w:t>
      </w:r>
    </w:p>
    <w:p>
      <w:pPr>
        <w:spacing w:after="120"/>
      </w:pPr>
      <w:r>
        <w:t xml:space="preserve">Compliance friction alone is crippling. A 2025 NTU study found compliance costs for small crypto transactions exceed actual tax revenue by more than 10:1. The reporting burden, not the tax bill, is what kills medium-of-exchange use.</w:t>
      </w:r>
    </w:p>
    <w:p>
      <w:r>
        <w:t xml:space="preserve"/>
      </w:r>
    </w:p>
    <w:p>
      <w:pPr>
        <w:pStyle w:val="Heading2"/>
      </w:pPr>
      <w:r>
        <w:t xml:space="preserve">The structural tension</w:t>
      </w:r>
    </w:p>
    <w:p>
      <w:pPr>
        <w:spacing w:after="120"/>
      </w:pPr>
      <w:r>
        <w:t xml:space="preserve">The Fisc's design mandate is to maintain S at constant real purchasing power against a goods/services basket — not to peg S to USD. In a high-inflation regime (the precise macro environment SPICE is built for), S floats up against debasing USD by design.</w:t>
      </w:r>
    </w:p>
    <w:p>
      <w:pPr>
        <w:spacing w:after="120"/>
      </w:pPr>
      <w:r>
        <w:t xml:space="preserve">This means every disposition of S generates a real capital gain proportional to USD's debasement. The tax friction scales precisely with how right the macro thesis is. Not a bug to patch — the design colliding with US property treatment.</w:t>
      </w:r>
    </w:p>
    <w:p>
      <w:r>
        <w:t xml:space="preserve"/>
      </w:r>
    </w:p>
    <w:p>
      <w:pPr>
        <w:pStyle w:val="Heading1"/>
      </w:pPr>
      <w:r>
        <w:t xml:space="preserve">Paths Considered and Rejected</w:t>
      </w:r>
    </w:p>
    <w:p>
      <w:pPr>
        <w:pStyle w:val="Heading2"/>
      </w:pPr>
      <w:r>
        <w:t xml:space="preserve">1. GENIUS-compliant USD-pegged stablecoin</w:t>
      </w:r>
    </w:p>
    <w:p>
      <w:pPr>
        <w:spacing w:after="120"/>
      </w:pPr>
      <w:r>
        <w:t xml:space="preserve">If S were pegged 1:1 to USD, it could qualify under the GENIUS Act and benefit from the proposed PARITY Act $200 de minimis exemption for sub-$200 stablecoin transactions.</w:t>
      </w:r>
    </w:p>
    <w:p>
      <w:pPr>
        <w:spacing w:after="120"/>
      </w:pPr>
      <w:r>
        <w:rPr>
          <w:b/>
          <w:bCs/>
        </w:rPr>
        <w:t xml:space="preserve">Why rejected:</w:t>
      </w:r>
      <w:r>
        <w:t xml:space="preserve"> GENIUS compliance requires the token to stay within 1% of $1.00 for at least 95% of trading days. Fisc-managed real-value stability is the opposite of USD-peg by construction. The stablecoin path destroys the entire macro thesis.</w:t>
      </w:r>
    </w:p>
    <w:p>
      <w:r>
        <w:t xml:space="preserve"/>
      </w:r>
    </w:p>
    <w:p>
      <w:pPr>
        <w:pStyle w:val="Heading2"/>
      </w:pPr>
      <w:r>
        <w:t xml:space="preserve">2. Push for general digital asset de minimis (BPI / Lummis fight)</w:t>
      </w:r>
    </w:p>
    <w:p>
      <w:pPr>
        <w:spacing w:after="120"/>
      </w:pPr>
      <w:r>
        <w:t xml:space="preserve">Bitcoin Policy Institute and others are lobbying for a broader $300/$600 de minimis exemption covering Bitcoin and other free-floating tokens.</w:t>
      </w:r>
    </w:p>
    <w:p>
      <w:pPr>
        <w:spacing w:after="120"/>
      </w:pPr>
      <w:r>
        <w:rPr>
          <w:b/>
          <w:bCs/>
        </w:rPr>
        <w:t xml:space="preserve">Why rejected:</w:t>
      </w:r>
      <w:r>
        <w:t xml:space="preserve"> Out of scope for this project. Senator Lummis departs January 2027; the latest PARITY draft excludes Bitcoin entirely; trajectory is unfavorable. Not on Act III's timeline, not in scope of control.</w:t>
      </w:r>
    </w:p>
    <w:p>
      <w:r>
        <w:t xml:space="preserve"/>
      </w:r>
    </w:p>
    <w:p>
      <w:pPr>
        <w:pStyle w:val="Heading2"/>
      </w:pPr>
      <w:r>
        <w:t xml:space="preserve">3. Foreign-first deployment</w:t>
      </w:r>
    </w:p>
    <w:p>
      <w:pPr>
        <w:spacing w:after="120"/>
      </w:pPr>
      <w:r>
        <w:t xml:space="preserve">Launch Act III in jurisdictions with friendlier crypto tax treatment (UAE, Singapore, Switzerland, El Salvador, certain emerging markets), let US adoption follow law reform.</w:t>
      </w:r>
    </w:p>
    <w:p>
      <w:pPr>
        <w:spacing w:after="120"/>
      </w:pPr>
      <w:r>
        <w:rPr>
          <w:b/>
          <w:bCs/>
        </w:rPr>
        <w:t xml:space="preserve">Why rejected:</w:t>
      </w:r>
      <w:r>
        <w:t xml:space="preserve"> Act III must be USA. The whole point is providing an alternative for dollar-denominated populations who need it most when USD breaks. A foreign-only launch fails the mission.</w:t>
      </w:r>
    </w:p>
    <w:p>
      <w:r>
        <w:t xml:space="preserve"/>
      </w:r>
    </w:p>
    <w:p>
      <w:pPr>
        <w:pStyle w:val="Heading2"/>
      </w:pPr>
      <w:r>
        <w:t xml:space="preserve">4. Build the friction in (automated tax accounting)</w:t>
      </w:r>
    </w:p>
    <w:p>
      <w:pPr>
        <w:spacing w:after="120"/>
      </w:pPr>
      <w:r>
        <w:t xml:space="preserve">Sophisticated per-wallet tax accounting tools that reconcile every transaction automatically.</w:t>
      </w:r>
    </w:p>
    <w:p>
      <w:pPr>
        <w:spacing w:after="120"/>
      </w:pPr>
      <w:r>
        <w:rPr>
          <w:b/>
          <w:bCs/>
        </w:rPr>
        <w:t xml:space="preserve">Why rejected:</w:t>
      </w:r>
      <w:r>
        <w:t xml:space="preserve"> Workable for high-net-worth users who'd pay for the hedge regardless. Does not work for mass UBI-style adoption — the friction and audit risk remain even if the calculation is automated.</w:t>
      </w:r>
    </w:p>
    <w:p>
      <w:r>
        <w:t xml:space="preserve"/>
      </w:r>
    </w:p>
    <w:p>
      <w:pPr>
        <w:pStyle w:val="Heading1"/>
      </w:pPr>
      <w:r>
        <w:t xml:space="preserve">The Accepted Architecture</w:t>
      </w:r>
    </w:p>
    <w:p>
      <w:pPr>
        <w:pStyle w:val="Heading2"/>
      </w:pPr>
      <w:r>
        <w:t xml:space="preserve">Layer 1: Closed-loop S-token</w:t>
      </w:r>
    </w:p>
    <w:p>
      <w:pPr>
        <w:spacing w:after="120"/>
      </w:pPr>
      <w:r>
        <w:t xml:space="preserve">S is designed with the following enforced properties: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Non-tradeable: no secondary markets, no peer-to-peer transfers to non-members, no OTC.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Network-bounded: spendable only with merchants who have joined the SPICE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Auto-conversion at the boundary: any attempted external transaction triggers automatic conversion to USDC.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Code-enforced: the smart contract layer prevents tradability backdoors. Any leakage destroys the legal classification.</w:t>
      </w:r>
    </w:p>
    <w:p>
      <w:pPr>
        <w:spacing w:after="120"/>
      </w:pPr>
      <w:r>
        <w:t xml:space="preserve">This positions S as a closed-loop stored-value instrument — closer to casino chips, gift cards, or store credit than to crypto. Spending in-network is not a property disposition by the user.</w:t>
      </w:r>
    </w:p>
    <w:p>
      <w:r>
        <w:t xml:space="preserve"/>
      </w:r>
    </w:p>
    <w:p>
      <w:pPr>
        <w:pStyle w:val="Heading2"/>
      </w:pPr>
      <w:r>
        <w:t xml:space="preserve">Layer 2: 501(c)(3) issuer with general welfare exclusion</w:t>
      </w:r>
    </w:p>
    <w:p>
      <w:pPr>
        <w:spacing w:after="120"/>
      </w:pPr>
      <w:r>
        <w:t xml:space="preserve">S is issued by the SPICE Foundation, a 501(c)(3) charitable entity whose mission is reducing financial precarity through alternative economic systems.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UBI distribution to members is structured to qualify under the general welfare exclusion (and potentially §102 gift exclusion), preserving receipt-side tax favorability.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Fisc lives operationally within the Foundation, with a constitutional separation of functions but a unified legal entity.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Donor funding can support operations during ramp; later operations can be supported by transaction fees or interest on USDC reserves, structured to avoid threatening (c)(3) status.</w:t>
      </w:r>
    </w:p>
    <w:p>
      <w:r>
        <w:t xml:space="preserve"/>
      </w:r>
    </w:p>
    <w:p>
      <w:pPr>
        <w:pStyle w:val="Heading2"/>
      </w:pPr>
      <w:r>
        <w:t xml:space="preserve">Layer 3: Foundation as bill-payer-of-record for external commerce</w:t>
      </w:r>
    </w:p>
    <w:p>
      <w:pPr>
        <w:spacing w:after="120"/>
      </w:pPr>
      <w:r>
        <w:t xml:space="preserve">The architectural innovation that solves the Amazon problem: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has S balance in their account.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instructs the Foundation to pay an external vendor (e.g., Amazon).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Foundation debits the user's S balance and pays the vendor from its own USDC reserves, as principal — not as agent for the user.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user never holds USDC. The user never disposes of S in exchange for property. The user has consumed a benefit.</w:t>
      </w:r>
    </w:p>
    <w:p>
      <w:pPr>
        <w:spacing w:after="120"/>
      </w:pPr>
      <w:r>
        <w:t xml:space="preserve">Tax effect: no taxable disposition by the user. The Foundation absorbs the FX and tax events on its own balance sheet, which as a 501(c)(3) is tax-exempt on those events.</w:t>
      </w:r>
    </w:p>
    <w:p>
      <w:r>
        <w:t xml:space="preserve"/>
      </w:r>
    </w:p>
    <w:p>
      <w:pPr>
        <w:pStyle w:val="Heading2"/>
      </w:pPr>
      <w:r>
        <w:t xml:space="preserve">Why this works legally — the precedent</w:t>
      </w:r>
    </w:p>
    <w:p>
      <w:pPr>
        <w:spacing w:after="120"/>
      </w:pPr>
      <w:r>
        <w:t xml:space="preserve">This is exactly how HSA debit cards work: the participant doesn't sell HSA assets to pay for medical care; the participant instructs the HSA provider to pay the medical provider. There's no taxable disposition because the participant never controls the cash. The same architecture is established 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Savings Accounts (HSA) — vendor payments via debit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Flexible Spending Accounts (FSA) — same model, employer-funded.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Commuter benefit cards (§132(f)) — closed-loop with restricted vendor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529 plan distributions paid directly to qualifying educational institutions.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SNAP benefits — closed-loop, restricted-use, statutorily excluded from gross income.</w:t>
      </w:r>
    </w:p>
    <w:p>
      <w:pPr>
        <w:spacing w:after="120"/>
      </w:pPr>
      <w:r>
        <w:t xml:space="preserve">Across all of these, the legal frame is consistent: a closed-loop benefit consumed via a third-party vendor payment is not a property disposition by the participant. SPICE's architecture is novel as a substrate but established as a tax-favored-program pattern.</w:t>
      </w:r>
    </w:p>
    <w:p>
      <w:r>
        <w:t xml:space="preserve"/>
      </w:r>
    </w:p>
    <w:p>
      <w:pPr>
        <w:pStyle w:val="Heading1"/>
      </w:pPr>
      <w:r>
        <w:t xml:space="preserve">Remaining Friction Points</w:t>
      </w:r>
    </w:p>
    <w:p>
      <w:pPr>
        <w:pStyle w:val="Heading2"/>
      </w:pPr>
      <w:r>
        <w:t xml:space="preserve">True exit cases</w:t>
      </w:r>
    </w:p>
    <w:p>
      <w:pPr>
        <w:spacing w:after="120"/>
      </w:pPr>
      <w:r>
        <w:t xml:space="preserve">The following actions still trigger conversion events with associated gain recognition: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leaves SPICE entirely and cashes out their S balance to USD.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gifts S to a non-member.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wants liquid USDC in their own wallet for activities the Foundation will not bill-pay (gambling, certain regulated activities, P2P transfers to non-members).</w:t>
      </w:r>
    </w:p>
    <w:p>
      <w:pPr>
        <w:spacing w:after="120"/>
      </w:pPr>
      <w:r>
        <w:t xml:space="preserve">These are lifecycle events, not daily commerce. Predictable, infrequent, and easily handled with discrete tax reporting.</w:t>
      </w:r>
    </w:p>
    <w:p>
      <w:r>
        <w:t xml:space="preserve"/>
      </w:r>
    </w:p>
    <w:p>
      <w:pPr>
        <w:pStyle w:val="Heading2"/>
      </w:pPr>
      <w:r>
        <w:t xml:space="preserve">UBIT and 501(c)(3) classification risk</w:t>
      </w:r>
    </w:p>
    <w:p>
      <w:pPr>
        <w:spacing w:after="120"/>
      </w:pPr>
      <w:r>
        <w:t xml:space="preserve">Running what is effectively a large-scale payment processor pushes against the requirement that a 501(c)(3) operate primarily for charitable purposes. Two risks: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Unrelated Business Income Tax (UBIT) on payment-processing operations if classified as unrelated to 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extreme cases, threat to the (c)(3) classification itself.</w:t>
      </w:r>
    </w:p>
    <w:p>
      <w:pPr>
        <w:spacing w:after="120"/>
      </w:pPr>
      <w:r>
        <w:t xml:space="preserve">Goodwill Industries solves the analogous problem because retail is core to its job-training mission. SPICE Foundation must position bill-pay as ancillary to a clearly articulated charitable mission. Plausible, but requires careful structuring with experienced (c)(3) counsel — not just a tax accountant.</w:t>
      </w:r>
    </w:p>
    <w:p>
      <w:r>
        <w:t xml:space="preserve"/>
      </w:r>
    </w:p>
    <w:p>
      <w:pPr>
        <w:pStyle w:val="Heading2"/>
      </w:pPr>
      <w:r>
        <w:t xml:space="preserve">State money transmitter licensing</w:t>
      </w:r>
    </w:p>
    <w:p>
      <w:pPr>
        <w:spacing w:after="120"/>
      </w:pPr>
      <w:r>
        <w:t xml:space="preserve">Operating a USDC-reserve-backed payment system that pays vendors on user instruction will likely require state money transmitter licensing in many states, or qualification as a merchant of record. This is operational burden, not legal-architecture risk, but the cost is non-trivial (legal, bonding, ongoing compliance).</w:t>
      </w:r>
    </w:p>
    <w:p>
      <w:r>
        <w:t xml:space="preserve"/>
      </w:r>
    </w:p>
    <w:p>
      <w:pPr>
        <w:pStyle w:val="Heading2"/>
      </w:pPr>
      <w:r>
        <w:t xml:space="preserve">Receipt-side UBI taxation</w:t>
      </w:r>
    </w:p>
    <w:p>
      <w:pPr>
        <w:spacing w:after="120"/>
      </w:pPr>
      <w:r>
        <w:t xml:space="preserve">The general welfare exclusion is a doctrinal position, not a statutory safe harbor for UBI of this kind. Stockton SEED, Magnolia Mother's Trust, and similar pilots have generally been treated as non-taxable in practice, but no broad regulatory blessing exists. This is an area where IRS practice could shift and where private letter ruling support would significantly strengthen the position.</w:t>
      </w:r>
    </w:p>
    <w:p>
      <w:r>
        <w:t xml:space="preserve"/>
      </w:r>
    </w:p>
    <w:p>
      <w:pPr>
        <w:pStyle w:val="Heading1"/>
      </w:pPr>
      <w:r>
        <w:t xml:space="preserve">What Would Bulletproof the Architecture</w:t>
      </w:r>
    </w:p>
    <w:p>
      <w:pPr>
        <w:spacing w:after="120"/>
      </w:pPr>
      <w:r>
        <w:t xml:space="preserve">The structure described above is defensible under existing law and precedent. To move from defensible to bulletproof: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Code-enforce the closed-loop boundary at the smart contract layer. Any tradability backdoor is fatal — this is the binary that determines whether S is a non-cash benefit or a financial asset.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State money transmitter licensing or merchant-of-record qualification, treating S as a stored-value product rather than a security or commodity. Anchors the legal classification at state level.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Private letter ruling from IRS confirming the closed-loop benefit treatment and the bill-pay-as-principal structure. Slow and expensive, but definitive. Worth pursuing once a working product exists.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Documented program rules establishing that user→Foundation relationship is benefit-recipient (not customer), and that bill-pay transactions are principal (not agent) on the Foundation's part. The principal-vs-agent distinction is the load-bearing legal element.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Charitable mission articulation that supports payment-processing operations as ancillary to a clearly charitable purpose. UBIT and (c)(3) classification depend on this.</w:t>
      </w:r>
    </w:p>
    <w:p>
      <w:r>
        <w:t xml:space="preserve"/>
      </w:r>
    </w:p>
    <w:p>
      <w:pPr>
        <w:pStyle w:val="Heading1"/>
      </w:pPr>
      <w:r>
        <w:t xml:space="preserve">Decisions Needed for Act III</w:t>
      </w:r>
    </w:p>
    <w:p>
      <w:pPr>
        <w:pStyle w:val="Heading2"/>
      </w:pPr>
      <w:r>
        <w:t xml:space="preserve">Issuer structure</w:t>
      </w:r>
    </w:p>
    <w:p>
      <w:pPr>
        <w:spacing w:after="120"/>
      </w:pPr>
      <w:r>
        <w:t xml:space="preserve">Two viable paths: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State-level UBI pilot.</w:t>
      </w:r>
      <w:r>
        <w:t xml:space="preserve"> SPICE partners with a state government to issue S as part of a state UBI program. Strongest receipt-side tax position (state benefits often have explicit statutory exclusions). Hardest to organize politically.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501(c)(3) Foundation.</w:t>
      </w:r>
      <w:r>
        <w:t xml:space="preserve"> SPICE Foundation issues S directly under general welfare doctrine. More controllable, scalable across states without per-state political capture, but receipt-side tax position is doctrinal rather than statutory.</w:t>
      </w:r>
    </w:p>
    <w:p>
      <w:pPr>
        <w:spacing w:after="120"/>
      </w:pPr>
      <w:r>
        <w:t xml:space="preserve">The 501(c)(3) path is the recommended default; state pilots can be pursued opportunistically as test markets.</w:t>
      </w:r>
    </w:p>
    <w:p>
      <w:r>
        <w:t xml:space="preserve"/>
      </w:r>
    </w:p>
    <w:p>
      <w:pPr>
        <w:pStyle w:val="Heading2"/>
      </w:pPr>
      <w:r>
        <w:t xml:space="preserve">Boundary enforcement design</w:t>
      </w:r>
    </w:p>
    <w:p>
      <w:pPr>
        <w:spacing w:after="120"/>
      </w:pPr>
      <w:r>
        <w:t xml:space="preserve">The smart contract architecture must enforce: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Whitelisted merchant addresses for in-network spend.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Auto-conversion to USDC on any attempted transfer outside the whitelist.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peer-to-peer transfers between users (or only between members, never to non-members).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Foundation-controlled bill-pay function operating against user-authorized debits, not user-controlled transfers.</w:t>
      </w:r>
    </w:p>
    <w:p>
      <w:pPr>
        <w:spacing w:after="120"/>
      </w:pPr>
      <w:r>
        <w:t xml:space="preserve">Each of these is a design constraint that propagates back to the Mars architecture and to V-token interaction. Worth specifying before contract development begins.</w:t>
      </w:r>
    </w:p>
    <w:p>
      <w:r>
        <w:t xml:space="preserve"/>
      </w:r>
    </w:p>
    <w:p>
      <w:pPr>
        <w:pStyle w:val="Heading2"/>
      </w:pPr>
      <w:r>
        <w:t xml:space="preserve">Bill-pay scope and operational build</w:t>
      </w:r>
    </w:p>
    <w:p>
      <w:pPr>
        <w:spacing w:after="120"/>
      </w:pPr>
      <w:r>
        <w:t xml:space="preserve">How aggressively does the Foundation pursue external vendor coverage?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Conservative: bill-pay only for major utilities and a small set of common vendors.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Moderate: bill-pay for any vendor accepting USDC or with bank ACH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Aggressive: full payment-processor build with merchant-of-record status, vendor APIs, and chargeback handling.</w:t>
      </w:r>
    </w:p>
    <w:p>
      <w:pPr>
        <w:spacing w:after="120"/>
      </w:pPr>
      <w:r>
        <w:t xml:space="preserve">The moderate level is probably the right starting point — covers Amazon, utilities, common subscriptions, and most bill payments without the operational burden of full merchant processing.</w:t>
      </w:r>
    </w:p>
    <w:p>
      <w:r>
        <w:t xml:space="preserve"/>
      </w:r>
    </w:p>
    <w:p>
      <w:pPr>
        <w:pStyle w:val="Heading1"/>
      </w:pPr>
      <w:r>
        <w:t xml:space="preserve">Honest Assessment</w:t>
      </w:r>
    </w:p>
    <w:p>
      <w:pPr>
        <w:spacing w:after="120"/>
      </w:pPr>
      <w:r>
        <w:t xml:space="preserve">The closed-loop + Foundation-bill-payer architecture is the move that converts "common exits = common tax" into "in-program usage with rare lifecycle exits." It works with existing US tax law rather than against it, and it draws on decades of precedent for tax-favored benefit programs.</w:t>
      </w:r>
    </w:p>
    <w:p>
      <w:pPr>
        <w:spacing w:after="120"/>
      </w:pPr>
      <w:r>
        <w:t xml:space="preserve">The cost is operational substance. The Foundation becomes a real payment infrastructure — not just a smart-contract issuer — with reserves, vendor relationships, KYC/AML compliance, and money transmitter licensing. That is the price of solving the friction at the architectural rather than the legislative level.</w:t>
      </w:r>
    </w:p>
    <w:p>
      <w:pPr>
        <w:spacing w:after="120"/>
      </w:pPr>
      <w:r>
        <w:t xml:space="preserve">This is the right price to pay. The alternative paths (legislative reform, foreign-first, friction-acceptance) all either depend on factors outside Act III's control or compromise the mission. The architectural solution depends only on the design and operational discipline of the Foundation itself.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SPICE Earth: Capital Gains Tax Architecture</dc:title>
  <dc:creator>Steve</dc:creator>
  <cp:lastModifiedBy>Un-named</cp:lastModifiedBy>
  <cp:revision>1</cp:revision>
  <dcterms:created xsi:type="dcterms:W3CDTF">2026-05-06T09:29:37.405Z</dcterms:created>
  <dcterms:modified xsi:type="dcterms:W3CDTF">2026-05-06T09:29:37.405Z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