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Баранов</w:t>
      </w:r>
      <w:r>
        <w:t xml:space="preserve"> </w:t>
      </w:r>
      <w:r>
        <w:t xml:space="preserve">Иван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и-и-задачи"/>
    <w:p>
      <w:pPr>
        <w:pStyle w:val="Heading1"/>
      </w:pPr>
      <w:r>
        <w:t xml:space="preserve">Цели и задачи</w:t>
      </w:r>
    </w:p>
    <w:bookmarkStart w:id="20" w:name="цель-лабораторной-работы"/>
    <w:p>
      <w:pPr>
        <w:pStyle w:val="Heading2"/>
      </w:pPr>
      <w:r>
        <w:t xml:space="preserve">Цель лабораторной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End w:id="21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длинная-арифметика"/>
    <w:p>
      <w:pPr>
        <w:pStyle w:val="Heading2"/>
      </w:pPr>
      <w:r>
        <w:t xml:space="preserve">Длинная арифметика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bookmarkEnd w:id="22"/>
    <w:bookmarkStart w:id="23" w:name="сложение-неотрицательных-целых-чисел"/>
    <w:p>
      <w:pPr>
        <w:pStyle w:val="Heading2"/>
      </w:pPr>
      <w:r>
        <w:t xml:space="preserve">Сложение неотрицательных целых чисел</w:t>
      </w:r>
    </w:p>
    <w:p>
      <w:pPr>
        <w:numPr>
          <w:ilvl w:val="0"/>
          <w:numId w:val="1001"/>
        </w:numPr>
        <w:pStyle w:val="Compact"/>
      </w:pPr>
      <w:r>
        <w:t xml:space="preserve">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вычитание-неотрицательных-целых-чисел"/>
    <w:p>
      <w:pPr>
        <w:pStyle w:val="Heading2"/>
      </w:pPr>
      <w:r>
        <w:t xml:space="preserve">Вычитание неотрицательных целых чисел</w:t>
      </w:r>
    </w:p>
    <w:p>
      <w:pPr>
        <w:numPr>
          <w:ilvl w:val="0"/>
          <w:numId w:val="1003"/>
        </w:numPr>
        <w:pStyle w:val="Compact"/>
      </w:pPr>
      <w:r>
        <w:t xml:space="preserve">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Xad18f1b4cf38699e5b4d29df868b6b3dabb2874"/>
    <w:p>
      <w:pPr>
        <w:pStyle w:val="Heading2"/>
      </w:pPr>
      <w:r>
        <w:t xml:space="preserve">Умножение неотрицательных целых чисел столбиком</w:t>
      </w:r>
    </w:p>
    <w:p>
      <w:pPr>
        <w:numPr>
          <w:ilvl w:val="0"/>
          <w:numId w:val="1005"/>
        </w:numPr>
        <w:pStyle w:val="Compact"/>
      </w:pPr>
      <w:r>
        <w:t xml:space="preserve">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6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6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6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5"/>
    <w:bookmarkStart w:id="26" w:name="быстрый-столбик"/>
    <w:p>
      <w:pPr>
        <w:pStyle w:val="Heading2"/>
      </w:pPr>
      <w:r>
        <w:t xml:space="preserve">Быстрый столбик</w:t>
      </w:r>
    </w:p>
    <w:p>
      <w:pPr>
        <w:numPr>
          <w:ilvl w:val="0"/>
          <w:numId w:val="1007"/>
        </w:numPr>
        <w:pStyle w:val="Compact"/>
      </w:pPr>
      <w:r>
        <w:t xml:space="preserve">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8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6"/>
    <w:bookmarkStart w:id="27" w:name="деление-многоразрядных-целых-чисел"/>
    <w:p>
      <w:pPr>
        <w:pStyle w:val="Heading2"/>
      </w:pPr>
      <w:r>
        <w:t xml:space="preserve">Деление многоразрядных целых чисел</w:t>
      </w:r>
    </w:p>
    <w:p>
      <w:pPr>
        <w:numPr>
          <w:ilvl w:val="0"/>
          <w:numId w:val="1009"/>
        </w:numPr>
        <w:pStyle w:val="Compact"/>
      </w:pPr>
      <w:r>
        <w:t xml:space="preserve">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10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7"/>
    <w:bookmarkStart w:id="30" w:name="пример-работы-алгоритма"/>
    <w:p>
      <w:pPr>
        <w:pStyle w:val="Heading2"/>
      </w:pPr>
      <w:r>
        <w:t xml:space="preserve">Пример работы алгоритма</w:t>
      </w:r>
    </w:p>
    <w:p>
      <w:pPr>
        <w:pStyle w:val="CaptionedFigure"/>
      </w:pPr>
      <w:bookmarkStart w:id="29" w:name="fig:001"/>
      <w:r>
        <w:drawing>
          <wp:inline>
            <wp:extent cx="4372215" cy="983556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im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215" cy="983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</w:t>
      </w:r>
    </w:p>
    <w:bookmarkEnd w:id="30"/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Ознакомились с алгоритмами целочисленной арифметики многократной точности.</w:t>
      </w:r>
    </w:p>
    <w:p>
      <w:pPr>
        <w:pStyle w:val="BodyText"/>
      </w:pPr>
      <w:r>
        <w:t xml:space="preserve">Произвели их программную реализацию.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Баранов Иван</dc:creator>
  <dc:language>ru-RU</dc:language>
  <cp:keywords/>
  <dcterms:created xsi:type="dcterms:W3CDTF">2022-12-24T19:58:25Z</dcterms:created>
  <dcterms:modified xsi:type="dcterms:W3CDTF">2022-12-24T19:58:25Z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Serif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Serif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Целочисленная арифметика многократной точности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