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100--1064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Wilkins</w:t>
      </w:r>
    </w:p>
    <w:p>
      <w:pPr>
        <w:pStyle w:val="depth4"/>
      </w:pPr>
      <w:r>
        <w:rPr>
          <w:rStyle w:val="label"/>
        </w:rPr>
        <w:t>Prénom</w:t>
      </w:r>
      <w:r>
        <w:t> : Kate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Sawyer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0U46U6E8UK</w:t>
      </w:r>
    </w:p>
    <w:p>
      <w:pPr>
        <w:pStyle w:val="depth3"/>
      </w:pPr>
      <w:r>
        <w:rPr>
          <w:rStyle w:val="label"/>
        </w:rPr>
        <w:t>Nom de la substance</w:t>
      </w:r>
      <w:r>
        <w:t> 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53-59-8</w:t>
      </w:r>
    </w:p>
    <w:p>
      <w:pPr>
        <w:pStyle w:val="depth3"/>
      </w:pPr>
      <w:r>
        <w:rPr>
          <w:rStyle w:val="label"/>
        </w:rPr>
        <w:t>Nom de la substance</w:t>
      </w:r>
      <w:r>
        <w:t> 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corrections des commentaires</w:t>
      </w:r>
    </w:p>
    <w:p>
      <w:pPr>
        <w:pStyle w:val="depth2"/>
      </w:pPr>
      <w:r>
        <w:rPr>
          <w:rStyle w:val="label"/>
        </w:rPr>
        <w:t>Corrections des commentaires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Source de référence</w:t>
      </w:r>
      <w:r>
        <w:t> : BiochemPharmacol.1975Aug15;24(16):1517-21.doi:10.1016/0006-2952(75)90029-5</w:t>
      </w:r>
    </w:p>
    <w:p>
      <w:pPr>
        <w:pStyle w:val="depth3"/>
      </w:pPr>
      <w:r>
        <w:rPr>
          <w:rStyle w:val="label"/>
        </w:rPr>
        <w:t>ID PubMed</w:t>
      </w:r>
      <w:r>
        <w:t> 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2026-06-22T13:43:26Z</dcterms:created>
  <dc:creator>Apache POI</dc:creator>
</cp:coreProperties>
</file>