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 Study on Placeholder 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Holmes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Watson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Grant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BB_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MRC_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886U3H6UFF</w:t>
      </w:r>
    </w:p>
    <w:p>
      <w:pPr>
        <w:pStyle w:val="depth3"/>
      </w:pPr>
      <w:r>
        <w:rPr>
          <w:rStyle w:val="label"/>
        </w:rPr>
        <w:t>Name Of Substance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EC3.1.6.-</w:t>
      </w:r>
    </w:p>
    <w:p>
      <w:pPr>
        <w:pStyle w:val="depth3"/>
      </w:pPr>
      <w:r>
        <w:rPr>
          <w:rStyle w:val="label"/>
        </w:rPr>
        <w:t>Name Of Substance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EC3.1.6.8</w:t>
      </w:r>
    </w:p>
    <w:p>
      <w:pPr>
        <w:pStyle w:val="depth3"/>
      </w:pPr>
      <w:r>
        <w:rPr>
          <w:rStyle w:val="label"/>
        </w:rPr>
        <w:t>Name Of Substance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EC3.2.1.31</w:t>
      </w:r>
    </w:p>
    <w:p>
      <w:pPr>
        <w:pStyle w:val="depth3"/>
      </w:pPr>
      <w:r>
        <w:rPr>
          <w:rStyle w:val="label"/>
        </w:rPr>
        <w:t>Name Of Substance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2025-07-02T02:48:37Z</dcterms:created>
  <dc:creator>Apache POI</dc:creator>
</cp:coreProperties>
</file>