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4F35D2"/>
          <w:sz w:val="56"/>
          <w:szCs w:val="56"/>
        </w:rPr>
        <w:t xml:space="preserve">ListingFlow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36"/>
          <w:szCs w:val="36"/>
        </w:rPr>
        <w:t xml:space="preserve">Realtor Listing Workflow Design Document</w:t>
      </w:r>
    </w:p>
    <w:p>
      <w:pPr>
        <w:pBdr>
          <w:top w:val="single" w:color="4F35D2" w:sz="6" w:space="12"/>
        </w:pBdr>
        <w:spacing w:after="200"/>
        <w:jc w:val="center"/>
      </w:pPr>
      <w:r>
        <w:rPr>
          <w:rFonts w:ascii="Calibri" w:cs="Calibri" w:eastAsia="Calibri" w:hAnsi="Calibri"/>
          <w:i/>
          <w:iCs/>
          <w:color w:val="777777"/>
          <w:sz w:val="24"/>
          <w:szCs w:val="24"/>
        </w:rPr>
        <w:t xml:space="preserve">End-to-End Property Listing Lifecycle for BC Real Estate Agents</w:t>
      </w:r>
    </w:p>
    <w:p>
      <w:pPr>
        <w:spacing w:before="1200"/>
      </w:pPr>
    </w:p>
    <w:p>
      <w:pPr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Version 1.0 — March 2026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Prepared by: ListingFlow Product Team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CC0000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This design document defines the complete end-to-end workflow that a licensed real estate agent in British Columbia follows when listing and selling a residential property. It covers every phase from initial seller contact through post-closing, identifying the actions, forms, compliance requirements, data dependencies, and system touchpoints at each stage.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This document serves as the product blueprint for the ListingFlow CRM platform, ensuring our software mirrors the real-world workflow of BC realtors with full regulatory compliance.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Document Purpose &amp; Scope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1.1 Purpose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This document defines the canonical listing workflow that ListingFlow automates. Every feature, screen, form, and notification in the platform maps back to a phase defined here.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Residential property listings in British Columbia, Canada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Single-family detached, townhouses, condos/apartments, duplexes, and bare land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Covers REBGV, FVREB, and CADREB board jurisdictions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Strata and freehold 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Regulatory compliance: BCFSA, BCREA, FINTRAC, PIPA, CASL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1.3 Audience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Product managers, developers, designers, QA engineers, and real estate advisors working on ListingFlow.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1.4 Regulatory Bodies Referenced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BCFSA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BC Financial Services Authority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Regulates real estate professionals under RESA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BCREA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BC Real Estate Association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Provides standard forms, education, advocacy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Canadian Real Estate Association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National association; operates Realtor.ca, WEBForms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FINTRAC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Financial Transactions and Reports Analysis Centre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Federal AML/ATF regulator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LTSA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Land Title and Survey Authority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Land title registration and searches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BC Assessment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BC Assessment Authority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Property assessments for taxation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REBGV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 Estate Board of Greater Vancouver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Operates Paragon MLS for Greater Vancouver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Workflow Overview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2.1 The 12-Phase Listing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500"/>
        <w:gridCol w:w="29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Output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Pre-Listing &amp; Prospecting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gen, CMA, listing presentation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Signed listing agreement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Listing Agreement &amp; Intake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DORTS, MLC, FINTRAC ID, PDS, Privacy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Executed contracts &amp; compliance records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Enrichment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Title search, BC Assessment, geocoding, ParcelMap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Verified property data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CMA &amp; Pricing Strategy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Comparable analysis, pricing recommendation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Confirmed list price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Preparation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BCREA forms, pre-fill data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 form package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E-Signature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DocuSign routing for seller &amp; agent packages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Signed documents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MLS Preparation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Photos, remarks, virtual tours, data entry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MLS-ready listing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MLS Submission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to Paragon, board activation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MLS listing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Marketing &amp; Showings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Campaigns, open houses, showing management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Buyer interest &amp; offers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Offer Management &amp; Negotiation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 offers, DMOP, counter-offers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Accepted offer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Contract-to-Close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Subject removal, conveyancing, completion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Firm sale &amp; title transfer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Post-Closing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Commission disbursement, file archival, follow-up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Closed file &amp; client retention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2.2 Workflow Flow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listing lifecycle progresses sequentially from Phase 1 through Phase 12. Key structural notes: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Phases 1-8 are strictly sequential (each must complete before the next begins)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Phases 9-10 run in parallel (marketing continues while offers come 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Phase 11 has sub-stages: rescission period, subject period, conveyancing, completion day, possession day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Phase 12 begins on completion day and extends for ongoing client relationship management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Phase 1 — Pre-Listing &amp; Prospecting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3.1 Overview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agent identifies a potential seller, conducts pre-listing research, prepares a Comparative Market Analysis (CMA), and delivers a listing presentation to win the listing.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3.2 Activities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Lead Generation — SOI referrals (65% of sellers), geographic farming, online leads, open houses, referral partners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Initial Contact &amp; Qualification — Discovery call: motivation, timeline, property type, mortgage status, ownership confirmation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Pre-Listing Research — BC Assessment lookup, preliminary LTSA title search, prior MLS history review, neighbourhood research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Comparative Market Analysis (CMA) — 3-5 comparable recent sales, price per square foot benchmarks, active and expired listings comparison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Pre-Listing Package — Agent bio, testimonials, marketing plan overview, CMA summary, FAQ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Listing Presentation — Present CMA, marketing plan, seller net sheet, commission structure, staging recommendations, agency options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3.3 Data Collected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Seller name, phone, email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Property address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Preliminary property details (type, beds, baths, approximate sqft)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Seller motivation and timeline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Existing mortgage information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3.4 System Touchpoints (ListingFlow)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CRM contact creation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Lead status tracking (hot/warm/cold)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CMA report generation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Seller net sheet calculator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Phase 2 — Listing Agreement &amp; Intake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4.1 Overview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agent formalizes the client relationship, collects required identity and compliance information, and executes the listing contract.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4.2 Required Forms (in sequence)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0"/>
        <w:gridCol w:w="3000"/>
        <w:gridCol w:w="2700"/>
        <w:gridCol w:w="22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Regulatory Basis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Disclosure of Representation in Trading Services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 — before any trading services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RESA Rules s.54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Privacy Notice and Consent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collecting personal information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FINTRAC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Individual Identification Information Record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time of entering agency relationship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PCMLTFA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MLC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 Listing Contract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listing appointment after seller agrees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BCREA Standard Form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Property Disclosure Statement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or before listing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BCREA (recommended)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Property No-Disclosure Statement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listing, if PDS not provided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BCREA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4.3 FINTRAC Identity Verification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Three primary methods for identity verification: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Method 1 — Government-Issued Photo ID (most common)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Must be authentic, valid, current. Contains name, photo, unique ID number. Acceptable: BC driver’s licence, Canadian passport, permanent resident card, ICBC ID card.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Method 2 — Canadian Credit File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Compare name, DOB, address against credit file in existence for 3+ years.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Method 3 — Dual-Process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Two independent reliable sources verifying name + address OR name + DOB.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Record retention: 5 years minimum. As of October 2025, agents must also verify unrepresented parties.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4.4 Seller Intake Data Collected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Seller Identity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legal name, DOB, citizenship, ID type/number/expiry, phone, email, mailing address, occupation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Property Details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Address, unit number, property type (detached/townhouse/condo/duplex/land), PID, legal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Listing Terms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price, list duration (start/end dates), commission rate (seller/buyer split), marketing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Property Features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Possession date, inclusions, exclusions, rental equipment, showing instructions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 Sellers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seller requires separate FINTRAC ID verification and identity record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4.5 Property Disclosure Statement Sections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Section 1: LAND — Environmental issues, flooding, boundary disputes, grow-op history, heritage designation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Section 2: SERVICES — Water supply, sewage, electrical, gas, heating fuel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Section 3: BUILDING — Roof age/condition, foundation, plumbing type, electrical, HVAC, insulation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Section 4: GENERAL — Renovations (with/without permits), insurance claims, pest issues, age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Section 5: LATENT DEFECTS — Written disclosure of known material latent defects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4.6 Strata-Specific Requirements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If the property is strata, additional documents are required: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Form B Information Certificate (strata must produce within 7 days, ~$35)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Current strata bylaws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Budget and financial statements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Depreciation report (required for stratas with 5+ units, updated every 5 years)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Recent AGM/SGM minutes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Insurance certificate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Strata-specific PDS version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Phase 3 — Data Enrichment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5.1 Overview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system enriches the listing with authoritative property data from government and institutional sources to ensure accuracy and support form generation.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5.2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2800"/>
        <w:gridCol w:w="1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Retrieved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 Method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BC Geocoder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Lat/lng, full address, locality, confidence 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 REST API (geocoder.api.gov.bc.ca)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ParcelMap BC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PID, plan number, parcel name, municipality, 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 WFS API (openmaps.gov.bc.ca)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LTSA (myLTSA)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Owner name on title, title number, charges, encumbrances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lookup via myLTSA.ca or BC OnLine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~$10/search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BC Assessment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Assessed value, year built, lot size, building area, zoning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lookup via bcassessment.ca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 (basic)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Strata Docs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B, bylaws, depreciation report, minutes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 from strata corporation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~$35 + fees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5.3 Enrichment Workflow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GEOCODE — Agent enters address → system calls BC Geocoder → returns coordinates, verified address, locality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PARCEL LOOKUP — Using coordinates → system queries ParcelMap BC WFS → returns PID, legal plan, municipality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LTSA TITLE SEARCH — Agent looks up PID on myLTSA → manually enters owner name, title number into system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BC ASSESSMENT — Agent looks up property on bcassessment.ca → manually enters assessed values, property characteristics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VALIDATION — System cross-references LTSA owner name against seller identity using fuzzy matching (Jaro-Winkler algorithm, threshold 0.85)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5.4 Data Model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Enrichment data is stored as structured JSON per listing: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geo: {fullAddress, lat, lng, locality, score}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parcel: {pid, planNumber, parcelName, municipality, areaSqm}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ltsa: {ownerName, titleNumber, charges}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assessment: {totalValue, landValue, improvementValue, yearBuilt, lotSizeSqft, buildingAreaSqft, bedrooms, bathrooms, zoning, neighbourhood, rollNumber}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enrich_status: tracks status per source (pending/running/done/fail/manual)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6. Phase 4 — CMA &amp; Pricing Strategy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6.1 Overview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agent finalizes the pricing strategy using comparable market data and confirms the list price with the seller.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6.2 CMA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3-5 comparable recently sold properties (within 6 months, similar area)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Active listings (current competition)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Expired listings (what didn’t sell and why)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Price per square foot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Adjustments for: lot size, age, condition, upgrades, location, views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6.3 Pricing Decision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CMA produces a low-high price range and a suggested/recommended price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Agent discusses range with seller, considering: market conditions, seller timeline, marketing strategy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Seller and agent agree on the list price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Price lock: once confirmed, the list price is locked and requires explicit approval to change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Marketing tier selection: Standard / Enhanced / Premium (determines marketing investment level)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Warning if selected price falls outside CMA range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6.4 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cma_low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end of CMA price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cma_high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end of CMA price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suggested_price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Agent’s recommended list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cma_notes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Comparable details, market commentary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list_price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Confirmed list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marketing_tier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/ enhanced / premium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price_locked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the price is locked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7. Phase 5 — Form Preparation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7.1 Overview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system auto-generates the required BCREA forms by pre-filling them with data collected during intake and enrichment phases.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7.2 Forms Generated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2800"/>
        <w:gridCol w:w="2800"/>
        <w:gridCol w:w="2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Disclosure of Representation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disclosure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Seller + Agent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MLC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 Listing Contract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Listing agreement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Seller + Agent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Property Disclosure Statement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Property condition disclosure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Seller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FINTRAC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Individual ID Information Record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AML identity verification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(records)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Privacy Notice and Consent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PIPA compliance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Seller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Consent to Contact (CASL)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Anti-spam consent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Seller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Disclosure of Risks to Unrep. Parties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Unrepresented party disclosure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(provides)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MLS_Input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MLS Data Input Sheet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Paragon MLS data entry reference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Mktg_Auth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Marketing Authorization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Permission for photos, signs, ads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Seller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Agreement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Formalize designated agency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Seller + Agent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C3_Conf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Cooperation &amp; Compensation Conf.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Cooperating brokerage commission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Fair_Housing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Fair Housing Acknowledgment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Non-discrimination compliance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Seller + Agent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7.3 Form Generation Pipeline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System collects all listing data, seller identities, and enrichment data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Data is transformed into Common Data Model (CDM) format — a flat structure optimized for form templates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CDM is sent to the form generation engine (Python server)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Engine renders HTML forms with pre-filled fields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Agent reviews each form for accuracy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Status tracking per form: pending → generated → ready → signed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7.4 CDM Data Structure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CDM (Common Data Model) flattens normalized database records into a single payload: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listing: {propAddress, propUnit, propType, listPrice, listDuration, possessionDate, commissions, inclusions, exclusions, mlsRemarks, seller[], geo{}, parcel{}, ltsa{}, assessment{}}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cfg: {agentName, agentPhone, agentEmail, agentLicense, brokerage, brokerageAddress, brokeragePhone}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8. Phase 6 — E-Signature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8.1 Overview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Completed forms are routed for electronic signature via DocuSign, organized into logical signing packages.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8.2 Signing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2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Forms Included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Seller Package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MLC, PDS, Privacy, Marketing Auth, Agency, Fair Housing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Seller(s)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Sent to seller email → seller signs all → returns to agent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Package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DORTS, FINTRAC record, C3 Conf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signs/acknowledges → filed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8.3 Status Tracking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Each package tracks: none → sent → partial → complete → declined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8.4 Multiple Sellers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If multiple sellers exist, each receives their own signing invitation. All must sign for the package to reach “complete” status.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9. Phase 7 — MLS Preparation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9.1 Overview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agent prepares all content required for the MLS listing: professional photography, AI-generated remarks, and data verification.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9.2 Photography &amp; Media Requirements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Professional interior and exterior photos (HDR, wide-angle)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Aerial/drone photography (where applicable)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Virtual tour / 3D walkthrough (Matterport or equivalent)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Video walkthrough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Floor plans (2D and/or 3D)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Staging (physical or virtual)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9.3 MLS Remarks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Two types of remarks are required: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Public Remarks (max 500 characters): Visible to consumers on Realtor.ca and syndicated sites. Must not contain: agent contact info, commission details, showing instructions.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REALTOR Remarks (max 500 characters): Visible only to licensed agents. Contains: showing instructions, offer presentation details, commission notes, lockbox code reference.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9.4 AI Remarks Generation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ListingFlow uses Claude AI to generate draft remarks based on listing context: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Input: property details, assessment data, geo data, inclusions/exclusions, listing terms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Output: public and realtor remarks drafts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Constraints: max 500 chars each, Canadian English, BCREA/CREA compliant, no fabrication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Agent reviews and edits before submission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9.5 Required MLS 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Property type, sub-type, MLS area/sub-area, full address, PID, legal 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Lot size/dimensions, zoning, ALR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Year built, total floor area (sqft), levels/floors, basement 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Bedrooms (above/below grade), bathrooms (full/half), fireplaces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Financial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price, annual taxes (amount + year), assessed value, cooperating commission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Features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Parking type/spaces, heating, cooling, exterior finish, roofing, flooring, appliances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Strata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Strata plan number, monthly fees, management company, parking/storage stall numbers, restrictions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Listing effective date, expiry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Remarks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 remarks, REALTOR remarks, directions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Photos (ordered), virtual tour link (unbranded)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10. Phase 8 — MLS Submission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10.1 Overview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listing is submitted to the real estate board’s MLS system (Paragon) for activation.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10.2 Submission Process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Agent enters listing in Paragon with FA (For Approval) status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Signed listing contract is uploaded/sent to the board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Board reviews data and activates the listing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Once active, listing appears on: Paragon member search, Realtor.ca, syndicated websites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10.3 Board Rules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Must submit within 3 calendar days of the listing’s effective date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Listings that cannot be shown for more than 5 days cannot remain active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Hold actions cannot exceed 14 calendar days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Contractual fields (price, commission, dates) can only be changed by the board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Agent can modify remarks and non-contractual fields via Agent Modify access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10.4 Listing Statuses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 (For Approval)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Submitted, awaiting board activation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Listed and available for showings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Under Contract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Conditional deal in place (optional status)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Unconditionally sold, awaiting completion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Automatically applied on completion date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11. Phase 9 — Marketing &amp; Showing Management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11.1 Marketing Plan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MLS optimization and Realtor.ca feature placement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Social media campaigns (Facebook/Instagram)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Email blasts (“Just Listed”)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Agent website and YouTube video tours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Traditional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Yard signage and printed feature sheets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Direct mail to farm area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Broker tours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11.2 Open House Management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Schedule and publish on MLS + social media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Prepare feature sheets and sign-in sheets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Provide DORTS and Disclosure of Risks to Unrepresented Parties to all visitors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Follow up with all attendees within 24 hours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Report showing activity to seller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11.3 Showing Management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Coordinate showing requests via CRM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Confirm seller availability and access instructions (lockbox code, pets, special instructions)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Track all showings with buyer agent feedback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Send seller regular activity reports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Adjust pricing strategy based on showing volume and feedback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11.4 System Touchpoints (ListingFlow)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Showing request workflow: buyer agent submits request → system checks Google Calendar → SMS/WhatsApp notification to seller → seller confirms/denies → buyer agent notified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Communication timeline: all messages logged per showing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Lockbox code shared only upon confirmation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Showing analytics dashboard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12. Phase 10 — Offer Management &amp; Negotiation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12.1 Offer Presentation Rules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All written offers MUST be presented to the seller (unless seller provides specific written instructions otherwise)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Offers presented in order received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Buyer’s agent may attend presentation unless seller instructs otherwise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12.2 Direction Regarding Presentation of Offers (DRPO)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Sets a specific date/time by which all offers must be submitted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Gives all potential buyers equal opportunity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Updated March 2025 per REBGV/BCFSA guidance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12.3 Multiple Offers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Listing agent must complete Disclosure of Multiple Offers Presented (DMOP) before presenting any offer in a multiple-offer situation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Terms of one offer cannot be disclosed to another buyer without written seller consent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Seller options: reject all, accept one, counter one at a time, or invite resubmissions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12.4 Home Buyer Rescission Period (HBRP)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3 business days after acceptance — buyer can rescind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Cannot be waived by any party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Rescission fee: 0.25% of offer price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Buyer must notify seller in writing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Runs concurrently with subject conditions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12.5 Counter-Offers &amp; Negotiation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Counter-offers must be in writing with a specific acceptance deadline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Key negotiation points: price, subject conditions, completion/possession dates, inclusions/exclusions, deposit amount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Disclosure to Sellers of Expected Remuneration form must be provided with EVERY offer and counter-offer (in dollar amounts)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13. Phase 11 — Contract-to-Close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13.1 Accepted Offer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Contract of Purchase and Sale includes: parties, property description, purchase price, deposit terms, subject conditions, completion/possession/adjustment dates, inclusions/exclusions, HBRP disclosure.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13.2 Subject Period (typically 5-10 business days)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Common subjects: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Subject to Financing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Subject to Inspection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Subject to PDS Review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Subject to Title Review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Subject to Strata Documents Review (strata)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Subject to Appraisal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Subject to Sale of Buyer’s Property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Subject removal: buyer submits written Subject Removal Form → contract becomes firm and binding → deposit due within 24 hours (typically 5% of purchase price).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13.3 FINTRAC — Buyer Side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Buyer’s agent completes Individual ID Record for buyer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Receipt of Funds Record for every amount received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Third-party determination if someone other than buyer provides funds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13.4 Post-Subject Removal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Listing agent confirms deposit received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Update MLS status to “Pending”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Send conveyancing instructions to lawyers/notaries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Report sale to board within 5 days (Sales Report Form)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13.5 The Five Key 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Acceptance 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Offer accepted by all parties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Subject Removal 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Deadline for buyer to remove all conditions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Completion 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Ownership and funds exchange; title transfers at LTSA (must be a business day)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Possession 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Buyer receives keys; typically 1 day after completion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Adjustment 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Buyer assumes financial responsibility (taxes, strata fees); usually same as possession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13.6 Conveyancing Process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Seller’s Lawyer/Notary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Prepare Statement of Adjustments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Prepare Transfer of Title (Form A)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Obtain mortgage payout statement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Prepare discharge documents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Buyer’s Lawyer/Notary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Conduct final title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Process mortgage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Prepare mortgage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Coordinate with seller’s lawyer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13.7 Completion Day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Buyer’s lawyer submits transfer and mortgage registration to LTSA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Title registration recorded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Funds flow: buyer’s funds → seller’s lawyer → pay out mortgage → pay commissions → distribute net proceeds to seller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13.8 Statement of Adjustments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Includes: purchase price, deposit credit, prorated property taxes, prorated strata fees, prorated utilities, legal fees, title insurance, Property Transfer Tax.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14. Phase 12 — Post-Closing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14.1 Commission Disbursement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Commission deducted from sale proceeds on completion day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Seller’s lawyer pays total commission to listing brokerage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Listing brokerage splits with buyer’s agent brokerage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Each brokerage pays its agent per their split agreement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All remuneration flows through brokerages (BCFSA rule)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GST/HST applies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14.2 Administrative Wrap-Up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MLS status automatically updates from “Pending” to “Closed” on completion date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Close transaction file — ensure all documents are properly stored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Archive FINTRAC records (5-year retention minimum)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Brokerage file compliance per BCFSA requirements (7-year retention under RESA)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14.3 Client Follow-Up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Thank you note / closing gift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Request testimonial/review (Google, social media)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Ask for referrals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Add to long-term CRM nurture program: anniversary reminders, quarterly market updates, birthday greetings, annual home valuation updates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14.4 Performance Tracking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Record sale in production tracking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Calculate effective commission rate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Review marketing spend vs. results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Update CMA database with this sale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15. Compliance Summary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15.1 FINTRAC Obligations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Obligation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Penalty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Individual ID Record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agency relationship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 to $500,000 fine and/or 5 years imprisonment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Receipt of Funds Record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time funds received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 to $500,000 fine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Large Cash Transaction Report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Cash $10,000+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 to $2M fine and/or 5 years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Suspicious Transaction Report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suspicion arises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 to $2M fine and/or 5 years for failure to report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Terrorist Property Report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Immediately upon discovery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Criminal penalties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 Retention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years from creation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Fines for non-compliance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15.2 CASL (Anti-Spam) Requirements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Obtain consent before sending commercial electronic messages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Provide identification info and unsubscribe mechanism in every message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Express consent does not expire; implied consent during active business relationship (2 years post-sale, 6 months post-inquiry)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Penalties: up to $1M per violation (individual), $10M (business)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15.3 PIPA (Privacy)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Privacy Notice and Consent required before collecting personal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Four opt-out boxes for secondary uses (marketing, surveys, referrals, other)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Personal information may be stored in foreign jurisdictions (must disclose)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15.4 Record Retention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FINTRAC records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years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PCMLTFA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Brokerage transaction files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 years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RESA/BCFSA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CASL consent records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Duration of consent + dispute period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CRTC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Privacy consents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Duration of business relationship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16. Appendices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Appendix A: Complete Form Checklist (Listing Side)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DORTS — Disclosure of Representation in Trading Services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Privacy Notice and Consent (PNC)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FINTRAC Individual Identification Information Record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Multiple Listing Contract (MLC) or Exclusive Listing Contract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Property Disclosure Statement (PDS) or Property No-Disclosure Statement (PNDS)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Strata Form B Information Certificate (if strata)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Marketing Authorization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Agency Agreement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Consent to Contact (CASL / C3)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Fair Housing Acknowledgment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MLS Data Input Sheet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Cooperation &amp; Compensation Confirmation (C3 Conf)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Disclosure of Risks to Unrepresented Parties (at open houses/showings)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Disclosure to Sellers of Expected Remuneration (at each offer)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Disclosure of Multiple Offers Presented (DMOP) (if multiple offers)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Trade Record Sheet (when funds held/received)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Sales Report Form (after subject removal)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Appendix B: Enrichment Data Sources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800"/>
        <w:gridCol w:w="2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Provides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BC Geocoder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geocoder.api.gov.bc.ca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Lat/lng, verified address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 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ParcelMap BC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openmaps.gov.bc.ca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PID, plan number, municipality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WFS 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myLTSA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myltsa.ca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Title, owner, charges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~$10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portal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BC Assessment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bcassessment.ca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Assessed value, property details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portal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Appendix C: MLS Field Requirements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 Fields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Property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Type, sub-type, MLS area, address, PID, legal 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Size, dimensions, zoning, ALR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Year built, floor area, levels, basement 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Bedrooms (above/below), bathrooms (full/half), fireplaces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Financial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price, annual taxes, assessed value, cooperating commission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Features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Parking, heating, cooling, exterior, roof, flooring, appliances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Strata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 number, monthly fees, management, parking/storage stalls, restrictions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Effective date, expiry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 remarks, REALTOR remarks, directions, photos, virtual tour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Appendix D: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Comparative Market Analysis — a report comparing recent sales to estimate property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Parcel Identifier — unique 9-digit number assigned to each land parcel in BC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LTSA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Land Title and Survey Authority — manages BC’s land title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MLC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 Listing Contract — the listing agreement between seller and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Property Disclosure Statement — seller’s disclosure of property condition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Disclosure of Representation in Trading Services — agency disclosure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FINTRAC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Financial Transactions and Reports Analysis Centre — federal AML regulator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PCMLTFA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Proceeds of Crime (Money Laundering) and Terrorist Financing 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 Estate Services Act — BC legislation governing real estate professionals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BCFSA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BC Financial Services Authority — regulator of BC real estate licensees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 Information Protection Act — BC privacy legislation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Canada’s Anti-Spam Legislation — federal electronic messaging law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HBRP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 Buyer Rescission Period — 3 business day right to rescind after acceptance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Direction Regarding Presentation of Offers — sets offer submission deadline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DMOP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Disclosure of Multiple Offers Presented — required in multiple offer situations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CDM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Common Data Model — flat data structure used for form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Paragon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MLS platform operated by REBGV for listing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WEBForms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CREA’s online platform for completing standard real estate forms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Strata Information Certificate — provides strata financial and governance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Statement of Adjustments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calculating final amounts owed between buyer and seller on completion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Conveyancing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legal process of transferring property ownership from seller to buyer</w:t>
            </w:r>
          </w:p>
        </w:tc>
      </w:tr>
    </w:tbl>
    <w:p>
      <w:pPr>
        <w:spacing w:before="600"/>
      </w:pPr>
    </w:p>
    <w:p>
      <w:pPr>
        <w:pBdr>
          <w:top w:val="single" w:color="4F35D2" w:sz="6" w:space="12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color w:val="999999"/>
        <w:sz w:val="16"/>
        <w:szCs w:val="16"/>
      </w:rPr>
      <w:t xml:space="preserve">ListingFlow — Realtor Listing Workflow</w:t>
    </w:r>
    <w:r>
      <w:rPr>
        <w:rFonts w:ascii="Calibri" w:cs="Calibri" w:eastAsia="Calibri" w:hAnsi="Calibri"/>
        <w:b/>
        <w:bCs/>
        <w:color w:val="CC000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3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14"/>
    <w:lvlOverride w:ilvl="0">
      <w:startOverride w:val="1"/>
    </w:lvlOverride>
  </w:num>
  <w:num w:numId="11">
    <w:abstractNumId w:val="5"/>
    <w:lvlOverride w:ilvl="0">
      <w:startOverride w:val="1"/>
    </w:lvlOverride>
  </w:num>
  <w:num w:numId="12">
    <w:abstractNumId w:val="6"/>
    <w:lvlOverride w:ilvl="0">
      <w:startOverride w:val="1"/>
    </w:lvlOverride>
  </w:num>
  <w:num w:numId="13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4F35D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2026-03-13T00:46:24.348Z</dcterms:created>
  <dcterms:modified xsi:type="dcterms:W3CDTF">2026-03-13T00:46:24.350Z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