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Latent Academic Potential: A Psychometric and Learning Science Evaluation of Dynamic Assessments, Learning-Velocity Metrics, and Standardized Work Samples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indicators of academic potential—specifically cumulative Grade Point Average (GPA), standardized test scores (such as the SAT and ACT), high school reputation, and course access—are deeply confounded by historical opportunity, socio-economic privilege, and institutional resource distribution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cumulative GPA and standardized tests maintain established criterion-related validity for predicting short-term tertiary performance, they fundamentally evaluate static, crystallized knowledge accumulated under specific environmental conditions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Consequently, these traditional metrics routinely fail to identify high-ability individuals from under-resourced, non-traditional, or culturally diverse backgrounds whose latent intellectual capability exceeds what is documented in their prior academic records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this structural blind spot, educational measurement and psychometrics have advanced non-static assessment paradigms. These include dynamic assessments evaluating the zone of proximal development, computational metrics tracking learning velocity, short digital micro-courses, and standardized work samples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evaluation systematically examines the theoretical validity, psychometric reliability, subgroup fairness, and operational scalability of these non-static evaluation methodologies to determine their readiness for identifying latent talent.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and Psychometric Foundations of Non-Static Assessment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Assessment Paradigms and Learning Potential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Assessment (DA) explicitly departs from static psychometric testing by embedding instructional mediation directly into the evaluation process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Grounded in Vygotsky’s concept of the Zone of Proximal Development (ZPD) and Feuerstein’s theory of Structural Cognitive Modifiability, dynamic assessment evaluates a learner's potential for cognitive change when provided with standardized instruction or structured feedback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Rather than asking what a student has already learned, dynamic assessment measures how efficiently a student acquires, applies, and retains new knowledge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assessment operationalizes learning potential primarily through two structural formats: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Sandwich Format (Pretest–Instruction–Posttest):</w:t>
      </w:r>
      <w:r w:rsidDel="00000000" w:rsidR="00000000" w:rsidRPr="00000000">
        <w:rPr>
          <w:rFonts w:ascii="Google Sans" w:cs="Google Sans" w:eastAsia="Google Sans" w:hAnsi="Google Sans"/>
          <w:color w:val="1f1f1f"/>
          <w:rtl w:val="0"/>
        </w:rPr>
        <w:t xml:space="preserve"> Learners complete an unassisted baseline measure (pretest), engage with a standardized instructional module or intervention, and complete a parallel posttest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Performance is evaluated through absolute posttest achievement, pretest-to-posttest gain scores, or latent growth parameters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Cake Format (Graduated Prompts):</w:t>
      </w:r>
      <w:r w:rsidDel="00000000" w:rsidR="00000000" w:rsidRPr="00000000">
        <w:rPr>
          <w:rFonts w:ascii="Google Sans" w:cs="Google Sans" w:eastAsia="Google Sans" w:hAnsi="Google Sans"/>
          <w:color w:val="1f1f1f"/>
          <w:rtl w:val="0"/>
        </w:rPr>
        <w:t xml:space="preserve"> Instructional scaffolding is integrated dynamically into task execution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a learner makes an error, the assessment system provides a pre-standardized sequence of increasingly explicit prompts or hints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primary metric derived is the number or level of prompts required to achieve task mastery, serving as an inverse index of instructional needs and cognitive modifiability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static tests that conflate prior educational access with learning capability, dynamic assessments isolate learning responsiveness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providing standardized learning opportunities within the assessment itself, these approaches neutralize historical gaps in course access and academic preparation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Psychometric Challenges: The Reliability of Gain Scores and Modern IRT Solutions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dynamic assessment faced skepticism due to classical test theory (CTT) limitations regarding difference or gain scores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Simple raw gain scores, calculated as posttest score minus pretest score, suffer from severe measurement unreliability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unreliability occurs because the error variances of the pretest and posttest combine additively, while true score variances subtract, as expressed in the classical difference score reliability formula: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5703"/>
            <wp:effectExtent b="0" l="0" r="0" t="0"/>
            <wp:docPr id="31"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905500" cy="63570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pretest and posttest scores are highly correlated, difference score reliability drops dramatically, rendering simple gain metrics unstable and vulnerable to regression to the mean and ceiling effects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psychometrics resolves this historical limitation through Item Response Theory (IRT), Explanatory Item Response Modeling (EIRM), and Computerized Adaptive Testing (CAT)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Platforms such as the Learning Potential Computerised Adaptive Test (LPCAT) apply Rasch scaling to model baseline ability and latent growth parameters simultaneously on a continuous logit scale (</w:t>
      </w:r>
      <w:r w:rsidDel="00000000" w:rsidR="00000000" w:rsidRPr="00000000">
        <w:rPr>
          <w:rFonts w:ascii="Google Sans" w:cs="Google Sans" w:eastAsia="Google Sans" w:hAnsi="Google Sans"/>
          <w:color w:val="1f1f1f"/>
        </w:rPr>
        <w:drawing>
          <wp:inline distB="19050" distT="19050" distL="19050" distR="19050">
            <wp:extent cx="97334" cy="253069"/>
            <wp:effectExtent b="0" l="0" r="0" t="0"/>
            <wp:docPr id="33"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97334" cy="2530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modeling response dynamics across calibrated item banks, IRT-based dynamic assessments eliminate gain-score unreliability, maintain equal-interval measurement across ability levels, and control for ceiling and floor distortions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Review of Major Empirical Research Findings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meet rigorous educational measurement standards, candidate assessment methods must be evaluated against empirical research criteria, including study design, population, sample size, reliability, validity coefficients, predicted outcomes, incremental validity, subgroup findings, limitations, and replication status.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Assessment of Word Reading and Literacy Skills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comprehensive meta-analysis conducted by ASHA researchers evaluated 35 studies comprising 192 effect sizes across 4,120 participants aged 4 to 10 years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study investigated dynamic assessments of phonological awareness, sound-symbol knowledge, and decoding using robust variance estimation under a random-effects model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dynamic measures demonstrated a strong pooled correlation with word reading criterion measures (</w:t>
      </w:r>
      <w:r w:rsidDel="00000000" w:rsidR="00000000" w:rsidRPr="00000000">
        <w:rPr>
          <w:rFonts w:ascii="Google Sans" w:cs="Google Sans" w:eastAsia="Google Sans" w:hAnsi="Google Sans"/>
          <w:color w:val="1f1f1f"/>
        </w:rPr>
        <w:drawing>
          <wp:inline distB="19050" distT="19050" distL="19050" distR="19050">
            <wp:extent cx="710059" cy="246154"/>
            <wp:effectExtent b="0" l="0" r="0" t="0"/>
            <wp:docPr id="3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710059" cy="246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equivalent to </w:t>
      </w:r>
      <w:r w:rsidDel="00000000" w:rsidR="00000000" w:rsidRPr="00000000">
        <w:rPr>
          <w:rFonts w:ascii="Google Sans" w:cs="Google Sans" w:eastAsia="Google Sans" w:hAnsi="Google Sans"/>
          <w:color w:val="1f1f1f"/>
        </w:rPr>
        <w:drawing>
          <wp:inline distB="19050" distT="19050" distL="19050" distR="19050">
            <wp:extent cx="703362" cy="247127"/>
            <wp:effectExtent b="0" l="0" r="0" t="0"/>
            <wp:docPr id="35"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703362" cy="247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Subgroup analysis revealed that dynamic assessment achieved significantly higher predictive validity in younger cohorts (ages 4–7) than older cohorts (</w:t>
      </w:r>
      <w:r w:rsidDel="00000000" w:rsidR="00000000" w:rsidRPr="00000000">
        <w:rPr>
          <w:rFonts w:ascii="Google Sans" w:cs="Google Sans" w:eastAsia="Google Sans" w:hAnsi="Google Sans"/>
          <w:color w:val="1f1f1f"/>
        </w:rPr>
        <w:drawing>
          <wp:inline distB="19050" distT="19050" distL="19050" distR="19050">
            <wp:extent cx="806202" cy="246603"/>
            <wp:effectExtent b="0" l="0" r="0" t="0"/>
            <wp:docPr id="34"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806202" cy="2466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Validity was consistent across typically developing and at-risk students, as well as across monolingual and bilingual learners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primary limitation was the scarcity of bilingual samples in early primary literature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Replication status is high across speech-language and early childhood educational literature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Reading Disability and Instructional Responsiveness Modeling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Longitudinal studies on early reading interventions evaluated graduated-prompt dynamic assessments against static measures in predicting reading disability outcomes among elementary students (</w:t>
      </w:r>
      <w:r w:rsidDel="00000000" w:rsidR="00000000" w:rsidRPr="00000000">
        <w:rPr>
          <w:rFonts w:ascii="Google Sans" w:cs="Google Sans" w:eastAsia="Google Sans" w:hAnsi="Google Sans"/>
          <w:color w:val="1f1f1f"/>
        </w:rPr>
        <w:drawing>
          <wp:inline distB="19050" distT="19050" distL="19050" distR="19050">
            <wp:extent cx="733872" cy="247801"/>
            <wp:effectExtent b="0" l="0" r="0" t="0"/>
            <wp:docPr id="38"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733872" cy="2478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Using multi-level growth modeling, graduated-prompt prompt counts achieved internal consistency reliability of </w:t>
      </w:r>
      <w:r w:rsidDel="00000000" w:rsidR="00000000" w:rsidRPr="00000000">
        <w:rPr>
          <w:rFonts w:ascii="Google Sans" w:cs="Google Sans" w:eastAsia="Google Sans" w:hAnsi="Google Sans"/>
          <w:color w:val="1f1f1f"/>
        </w:rPr>
        <w:drawing>
          <wp:inline distB="19050" distT="19050" distL="19050" distR="19050">
            <wp:extent cx="637728" cy="247477"/>
            <wp:effectExtent b="0" l="0" r="0" t="0"/>
            <wp:docPr id="37"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637728" cy="2474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42"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Dynamic prompt counts accounted for 2% to 21% unique variance in end-of-grade decoding and comprehension beyond static phonological processing measures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dynamic approach significantly reduced false positives for reading disability among culturally and linguistically diverse children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Limitations included administration time constraints in manual one-on-one testing contexts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Replication has been established across Response to Intervention (RTI) validation literature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Rainbow Project: Triarchic Ability Assessment in Higher Education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multisite validation study led by Sternberg and the Rainbow Project Collaborators evaluated </w:t>
      </w:r>
      <w:r w:rsidDel="00000000" w:rsidR="00000000" w:rsidRPr="00000000">
        <w:rPr>
          <w:rFonts w:ascii="Google Sans" w:cs="Google Sans" w:eastAsia="Google Sans" w:hAnsi="Google Sans"/>
          <w:color w:val="1f1f1f"/>
        </w:rPr>
        <w:drawing>
          <wp:inline distB="19050" distT="19050" distL="19050" distR="19050">
            <wp:extent cx="919014" cy="248900"/>
            <wp:effectExtent b="0" l="0" r="0" t="0"/>
            <wp:docPr id="41"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919014" cy="248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students across 15 high schools, community colleges, and universities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study evaluated the Sternberg Triarchic Abilities Test (STAT), augmented with performance-based measures of practical intelligence (situational judgment problems) and creative intelligence (captioning captionless cartoons and writing novel stories)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triarchic battery achieved internal consistency reliability ranging from </w:t>
      </w:r>
      <w:r w:rsidDel="00000000" w:rsidR="00000000" w:rsidRPr="00000000">
        <w:rPr>
          <w:rFonts w:ascii="Google Sans" w:cs="Google Sans" w:eastAsia="Google Sans" w:hAnsi="Google Sans"/>
          <w:color w:val="1f1f1f"/>
        </w:rPr>
        <w:drawing>
          <wp:inline distB="19050" distT="19050" distL="19050" distR="19050">
            <wp:extent cx="637728" cy="247477"/>
            <wp:effectExtent b="0" l="0" r="0" t="0"/>
            <wp:docPr id="45"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637728" cy="2474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50478" cy="240844"/>
            <wp:effectExtent b="0" l="0" r="0" t="0"/>
            <wp:docPr id="43"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250478" cy="2408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subtests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Triarchic measures nearly doubled the predictive validity for first-year college GPA compared to the SAT alone, contributing an incremental </w:t>
      </w:r>
      <w:r w:rsidDel="00000000" w:rsidR="00000000" w:rsidRPr="00000000">
        <w:rPr>
          <w:rFonts w:ascii="Google Sans" w:cs="Google Sans" w:eastAsia="Google Sans" w:hAnsi="Google Sans"/>
          <w:color w:val="1f1f1f"/>
        </w:rPr>
        <w:drawing>
          <wp:inline distB="19050" distT="19050" distL="19050" distR="19050">
            <wp:extent cx="838200" cy="247650"/>
            <wp:effectExtent b="0" l="0" r="0" t="0"/>
            <wp:docPr id="44"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8382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 8.5% increase in variance explained) beyond SAT scores (</w:t>
      </w:r>
      <w:r w:rsidDel="00000000" w:rsidR="00000000" w:rsidRPr="00000000">
        <w:rPr>
          <w:rFonts w:ascii="Google Sans" w:cs="Google Sans" w:eastAsia="Google Sans" w:hAnsi="Google Sans"/>
          <w:color w:val="1f1f1f"/>
        </w:rPr>
        <w:drawing>
          <wp:inline distB="19050" distT="19050" distL="19050" distR="19050">
            <wp:extent cx="838200" cy="247650"/>
            <wp:effectExtent b="0" l="0" r="0" t="0"/>
            <wp:docPr id="46"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8382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high school GPA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ethnic group score differences were significantly smaller on practical and creative measures than on the SAT, where African American and Hispanic score deficits were reduced by over 50%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Limitations included the labor-intensive nature of human rubric scoring for creative writing and performance tasks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Partial replication was achieved in subsequent projects such as the Aurora Project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 Potential Computerised Adaptive Testing (LPCAT)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studies on the LPCAT instrument evaluated </w:t>
      </w:r>
      <w:r w:rsidDel="00000000" w:rsidR="00000000" w:rsidRPr="00000000">
        <w:rPr>
          <w:rFonts w:ascii="Google Sans" w:cs="Google Sans" w:eastAsia="Google Sans" w:hAnsi="Google Sans"/>
          <w:color w:val="1f1f1f"/>
        </w:rPr>
        <w:drawing>
          <wp:inline distB="19050" distT="19050" distL="19050" distR="19050">
            <wp:extent cx="733872" cy="247801"/>
            <wp:effectExtent b="0" l="0" r="0" t="0"/>
            <wp:docPr id="47"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733872" cy="2478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secondary students to determine the predictive validity of IRT-based dynamic learning potential scores for academic performance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LPCAT utilizes a non-verbal figural matrix format delivered adaptively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Test-retest and latent theta reliability exceeded </w:t>
      </w:r>
      <w:r w:rsidDel="00000000" w:rsidR="00000000" w:rsidRPr="00000000">
        <w:rPr>
          <w:rFonts w:ascii="Google Sans" w:cs="Google Sans" w:eastAsia="Google Sans" w:hAnsi="Google Sans"/>
          <w:color w:val="1f1f1f"/>
        </w:rPr>
        <w:drawing>
          <wp:inline distB="19050" distT="19050" distL="19050" distR="19050">
            <wp:extent cx="605433" cy="245957"/>
            <wp:effectExtent b="0" l="0" r="0" t="0"/>
            <wp:docPr id="48"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605433" cy="24595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posttest learning potential score alone explained 12.9% unique variance in aggregate academic performance, while a combined model of learning potential and traditional verbal aptitude explained 35.3% of the total variance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Subgroup analysis demonstrated that LPCAT identified high tertiary academic potential in students whose static school performance was suppressed by language barriers or under-resourced schooling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limitation noted was that dynamic non-verbal reasoning scores correlated less strongly with language-heavy humanities criteria than with quantitative subjects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Replication has been documented across Southern African educational measurement literature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Meta-Analytic Re-Evaluation of Work Samples in Selection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Re-evaluations of selection methods meta-analyses (such as Sackett et al., 2022) examined the predictive validity of standardized work samples and job simulations across workplace and academic training performance datasets (</w:t>
      </w:r>
      <w:r w:rsidDel="00000000" w:rsidR="00000000" w:rsidRPr="00000000">
        <w:rPr>
          <w:rFonts w:ascii="Google Sans" w:cs="Google Sans" w:eastAsia="Google Sans" w:hAnsi="Google Sans"/>
          <w:color w:val="1f1f1f"/>
        </w:rPr>
        <w:drawing>
          <wp:inline distB="19050" distT="19050" distL="19050" distR="19050">
            <wp:extent cx="1016946" cy="247108"/>
            <wp:effectExtent b="0" l="0" r="0" t="0"/>
            <wp:docPr id="49"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1016946" cy="2471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After correcting for range restriction and criterion unreliability, standardized work samples demonstrated operational predictive validities ranging from </w:t>
      </w:r>
      <w:r w:rsidDel="00000000" w:rsidR="00000000" w:rsidRPr="00000000">
        <w:rPr>
          <w:rFonts w:ascii="Google Sans" w:cs="Google Sans" w:eastAsia="Google Sans" w:hAnsi="Google Sans"/>
          <w:color w:val="1f1f1f"/>
        </w:rPr>
        <w:drawing>
          <wp:inline distB="19050" distT="19050" distL="19050" distR="19050">
            <wp:extent cx="605433" cy="245957"/>
            <wp:effectExtent b="0" l="0" r="0" t="0"/>
            <wp:docPr id="50"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605433" cy="245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605433" cy="245957"/>
            <wp:effectExtent b="0" l="0" r="0" t="0"/>
            <wp:docPr id="51"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605433" cy="245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real-world performance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Work samples contributed substantial incremental validity (</w:t>
      </w:r>
      <w:r w:rsidDel="00000000" w:rsidR="00000000" w:rsidRPr="00000000">
        <w:rPr>
          <w:rFonts w:ascii="Google Sans" w:cs="Google Sans" w:eastAsia="Google Sans" w:hAnsi="Google Sans"/>
          <w:color w:val="1f1f1f"/>
        </w:rPr>
        <w:drawing>
          <wp:inline distB="19050" distT="19050" distL="19050" distR="19050">
            <wp:extent cx="1393479" cy="248154"/>
            <wp:effectExtent b="0" l="0" r="0" t="0"/>
            <wp:docPr id="52"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1393479" cy="248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standardized cognitive tests and high school grades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Subgroup analysis indicated lower adverse impact against underrepresented minority groups compared to static cognitive tests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Limitations involve higher development costs and vulnerability to domain context changes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Modalities of Non-Static Assessment: Psychological Constructs, Operational Dynamics, and Vulnerabilities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Micro-Courses and Pretest–Instruction–Posttest Sequences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Short digital micro-courses present structured, domain-specific learning environments spanning several hours to several weeks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Learners engage with novel academic content, complete embedded exercises, receive automated feedback, and complete post-assessments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Construct Measured:</w:t>
      </w:r>
      <w:r w:rsidDel="00000000" w:rsidR="00000000" w:rsidRPr="00000000">
        <w:rPr>
          <w:rFonts w:ascii="Google Sans" w:cs="Google Sans" w:eastAsia="Google Sans" w:hAnsi="Google Sans"/>
          <w:color w:val="1f1f1f"/>
          <w:rtl w:val="0"/>
        </w:rPr>
        <w:t xml:space="preserve"> Domain-specific learning efficiency, self-directed study capability, persistence, and instructional responsiveness in authentic academic contexts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Capability versus Preparation:</w:t>
      </w:r>
      <w:r w:rsidDel="00000000" w:rsidR="00000000" w:rsidRPr="00000000">
        <w:rPr>
          <w:rFonts w:ascii="Google Sans" w:cs="Google Sans" w:eastAsia="Google Sans" w:hAnsi="Google Sans"/>
          <w:color w:val="1f1f1f"/>
          <w:rtl w:val="0"/>
        </w:rPr>
        <w:t xml:space="preserve"> Primarily evaluates capability and learning efficiency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providing self-contained instructional materials, micro-courses allow candidates with poor prior preparation to master content during the course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Reliability and Validity:</w:t>
      </w:r>
      <w:r w:rsidDel="00000000" w:rsidR="00000000" w:rsidRPr="00000000">
        <w:rPr>
          <w:rFonts w:ascii="Google Sans" w:cs="Google Sans" w:eastAsia="Google Sans" w:hAnsi="Google Sans"/>
          <w:color w:val="1f1f1f"/>
          <w:rtl w:val="0"/>
        </w:rPr>
        <w:t xml:space="preserve"> Internal consistency reliability is high (</w:t>
      </w:r>
      <w:r w:rsidDel="00000000" w:rsidR="00000000" w:rsidRPr="00000000">
        <w:rPr>
          <w:rFonts w:ascii="Google Sans" w:cs="Google Sans" w:eastAsia="Google Sans" w:hAnsi="Google Sans"/>
          <w:color w:val="1f1f1f"/>
        </w:rPr>
        <w:drawing>
          <wp:inline distB="19050" distT="19050" distL="19050" distR="19050">
            <wp:extent cx="1127674" cy="248471"/>
            <wp:effectExtent b="0" l="0" r="0" t="0"/>
            <wp:docPr id="53" name="image46.png"/>
            <a:graphic>
              <a:graphicData uri="http://schemas.openxmlformats.org/drawingml/2006/picture">
                <pic:pic>
                  <pic:nvPicPr>
                    <pic:cNvPr id="0" name="image46.png"/>
                    <pic:cNvPicPr preferRelativeResize="0"/>
                  </pic:nvPicPr>
                  <pic:blipFill>
                    <a:blip r:embed="rId25"/>
                    <a:srcRect b="0" l="0" r="0" t="0"/>
                    <a:stretch>
                      <a:fillRect/>
                    </a:stretch>
                  </pic:blipFill>
                  <pic:spPr>
                    <a:xfrm>
                      <a:off x="0" y="0"/>
                      <a:ext cx="1127674" cy="2484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Micro-courses display strong predictive validity for subsequent course completion and collegiate GPA (</w:t>
      </w:r>
      <w:r w:rsidDel="00000000" w:rsidR="00000000" w:rsidRPr="00000000">
        <w:rPr>
          <w:rFonts w:ascii="Google Sans" w:cs="Google Sans" w:eastAsia="Google Sans" w:hAnsi="Google Sans"/>
          <w:color w:val="1f1f1f"/>
        </w:rPr>
        <w:drawing>
          <wp:inline distB="19050" distT="19050" distL="19050" distR="19050">
            <wp:extent cx="1095375" cy="247650"/>
            <wp:effectExtent b="0" l="0" r="0" t="0"/>
            <wp:docPr id="21"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1095375"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offering substantial incremental validity (</w:t>
      </w:r>
      <w:r w:rsidDel="00000000" w:rsidR="00000000" w:rsidRPr="00000000">
        <w:rPr>
          <w:rFonts w:ascii="Google Sans" w:cs="Google Sans" w:eastAsia="Google Sans" w:hAnsi="Google Sans"/>
          <w:color w:val="1f1f1f"/>
        </w:rPr>
        <w:drawing>
          <wp:inline distB="19050" distT="19050" distL="19050" distR="19050">
            <wp:extent cx="1393479" cy="248154"/>
            <wp:effectExtent b="0" l="0" r="0" t="0"/>
            <wp:docPr id="22"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1393479" cy="248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high school GPA by directly measuring performance on target curricula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Operational Considerations:</w:t>
      </w:r>
      <w:r w:rsidDel="00000000" w:rsidR="00000000" w:rsidRPr="00000000">
        <w:rPr>
          <w:rFonts w:ascii="Google Sans" w:cs="Google Sans" w:eastAsia="Google Sans" w:hAnsi="Google Sans"/>
          <w:color w:val="1f1f1f"/>
          <w:rtl w:val="0"/>
        </w:rPr>
        <w:t xml:space="preserve"> Administration time is high (10 to 30 hours over multiple weeks), but automated scoring via programmatic autograders and standardized rubrics keeps operational overhead low</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Accessibility is high if optimized for low-bandwidth mobile environments.</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Vulnerabilities and Subgroup Fairness:</w:t>
      </w:r>
      <w:r w:rsidDel="00000000" w:rsidR="00000000" w:rsidRPr="00000000">
        <w:rPr>
          <w:rFonts w:ascii="Google Sans" w:cs="Google Sans" w:eastAsia="Google Sans" w:hAnsi="Google Sans"/>
          <w:color w:val="1f1f1f"/>
          <w:rtl w:val="0"/>
        </w:rPr>
        <w:t xml:space="preserve"> Unproctored micro-courses face moderate identity-verification and contract-cheating risks, requiring proctored final assessments or biometric identity verification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Subgroup fairness is exceptionally high, as open access neutralizes high school reputation and course availability barriers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Results generalize well across related academic and professional domains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 Velocity and Process-Level Kinetics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 velocity quantifies the rate at which a student achieves mastery over time when exposed to structured practice and automated feedback</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Rate of Improvement and Error Correction:</w:t>
      </w:r>
      <w:r w:rsidDel="00000000" w:rsidR="00000000" w:rsidRPr="00000000">
        <w:rPr>
          <w:rFonts w:ascii="Google Sans" w:cs="Google Sans" w:eastAsia="Google Sans" w:hAnsi="Google Sans"/>
          <w:color w:val="1f1f1f"/>
          <w:rtl w:val="0"/>
        </w:rPr>
        <w:t xml:space="preserve"> Measured using Additive Factors Models (AFM) or Performance Factor Analysis (PFA) that track error decay curves across sequential attempts of specific Knowledge Components (KCs)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Rapid reduction in repeated errors signals high schema construction efficiency and cognitive flexibility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Scaffolding and Prompt Counts:</w:t>
      </w:r>
      <w:r w:rsidDel="00000000" w:rsidR="00000000" w:rsidRPr="00000000">
        <w:rPr>
          <w:rFonts w:ascii="Google Sans" w:cs="Google Sans" w:eastAsia="Google Sans" w:hAnsi="Google Sans"/>
          <w:color w:val="1f1f1f"/>
          <w:rtl w:val="0"/>
        </w:rPr>
        <w:t xml:space="preserve"> Quantifies the exact volume of instructional support required to achieve correctness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Graduated prompt counts inversely index instructional need, contributing unique variance (</w:t>
      </w:r>
      <w:r w:rsidDel="00000000" w:rsidR="00000000" w:rsidRPr="00000000">
        <w:rPr>
          <w:rFonts w:ascii="Google Sans" w:cs="Google Sans" w:eastAsia="Google Sans" w:hAnsi="Google Sans"/>
          <w:color w:val="1f1f1f"/>
        </w:rPr>
        <w:drawing>
          <wp:inline distB="19050" distT="19050" distL="19050" distR="19050">
            <wp:extent cx="1393479" cy="248154"/>
            <wp:effectExtent b="0" l="0" r="0" t="0"/>
            <wp:docPr id="23"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1393479" cy="248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beyond static posttest scores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Transfer and Delayed Retention:</w:t>
      </w:r>
      <w:r w:rsidDel="00000000" w:rsidR="00000000" w:rsidRPr="00000000">
        <w:rPr>
          <w:rFonts w:ascii="Google Sans" w:cs="Google Sans" w:eastAsia="Google Sans" w:hAnsi="Google Sans"/>
          <w:color w:val="1f1f1f"/>
          <w:rtl w:val="0"/>
        </w:rPr>
        <w:t xml:space="preserve"> Evaluates whether acquired skills generalize to novel structural task variants and persist after a temporal delay (e.g., 48 hours to 7 days)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Latent Growth Curve Analysis (LGCA) shows that initial baseline performance (intercept) and learning rate (slope) are uncorrelated (</w:t>
      </w:r>
      <w:r w:rsidDel="00000000" w:rsidR="00000000" w:rsidRPr="00000000">
        <w:rPr>
          <w:rFonts w:ascii="Google Sans" w:cs="Google Sans" w:eastAsia="Google Sans" w:hAnsi="Google Sans"/>
          <w:color w:val="1f1f1f"/>
        </w:rPr>
        <w:drawing>
          <wp:inline distB="19050" distT="19050" distL="19050" distR="19050">
            <wp:extent cx="1553318" cy="247769"/>
            <wp:effectExtent b="0" l="0" r="0" t="0"/>
            <wp:docPr id="24"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1553318" cy="2477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proving that learning velocity is an independent dimension of talent uncaptured by initial performance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Vulnerabilities and Fairness:</w:t>
      </w:r>
      <w:r w:rsidDel="00000000" w:rsidR="00000000" w:rsidRPr="00000000">
        <w:rPr>
          <w:rFonts w:ascii="Google Sans" w:cs="Google Sans" w:eastAsia="Google Sans" w:hAnsi="Google Sans"/>
          <w:color w:val="1f1f1f"/>
          <w:rtl w:val="0"/>
        </w:rPr>
        <w:t xml:space="preserve"> Process-level metrics are difficult to coach or game because they evaluate response kinetics rather than static answers. Subgroup fairness is high, effectively decoupling raw capability from prior exposure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Work Samples, Authentic Tasks, and Generative AI Vulnerabilities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 samples evaluate candidate execution on representative tasks drawn from target academic or professional fields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Quantitative Problem-Solving and Job Simulations:</w:t>
      </w:r>
      <w:r w:rsidDel="00000000" w:rsidR="00000000" w:rsidRPr="00000000">
        <w:rPr>
          <w:rFonts w:ascii="Google Sans" w:cs="Google Sans" w:eastAsia="Google Sans" w:hAnsi="Google Sans"/>
          <w:color w:val="1f1f1f"/>
          <w:rtl w:val="0"/>
        </w:rPr>
        <w:t xml:space="preserve"> Standardized simulations place candidates in realistic problem contexts (such as analyzing a dataset, debugging code, or modeling economic trends)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Corrected validity coefficients range from </w:t>
      </w:r>
      <w:r w:rsidDel="00000000" w:rsidR="00000000" w:rsidRPr="00000000">
        <w:rPr>
          <w:rFonts w:ascii="Google Sans" w:cs="Google Sans" w:eastAsia="Google Sans" w:hAnsi="Google Sans"/>
          <w:color w:val="1f1f1f"/>
        </w:rPr>
        <w:drawing>
          <wp:inline distB="19050" distT="19050" distL="19050" distR="19050">
            <wp:extent cx="605433" cy="245957"/>
            <wp:effectExtent b="0" l="0" r="0" t="0"/>
            <wp:docPr id="25"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605433" cy="245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605433" cy="245957"/>
            <wp:effectExtent b="0" l="0" r="0" t="0"/>
            <wp:docPr id="26"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605433" cy="245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delivering robust incremental validity over static tests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Practical and Creative Problem-Solving:</w:t>
      </w:r>
      <w:r w:rsidDel="00000000" w:rsidR="00000000" w:rsidRPr="00000000">
        <w:rPr>
          <w:rFonts w:ascii="Google Sans" w:cs="Google Sans" w:eastAsia="Google Sans" w:hAnsi="Google Sans"/>
          <w:color w:val="1f1f1f"/>
          <w:rtl w:val="0"/>
        </w:rPr>
        <w:t xml:space="preserve"> Measures such as the Rainbow Project assess practical situational judgment and creative generation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These tasks nearly double the predictive power for college GPA compared to SAT scores alone while reducing ethnic group score disparities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Writing Samples, Blind Portfolios, and Generative AI Vulnerabilities:</w:t>
      </w:r>
      <w:r w:rsidDel="00000000" w:rsidR="00000000" w:rsidRPr="00000000">
        <w:rPr>
          <w:rFonts w:ascii="Google Sans" w:cs="Google Sans" w:eastAsia="Google Sans" w:hAnsi="Google Sans"/>
          <w:color w:val="1f1f1f"/>
          <w:rtl w:val="0"/>
        </w:rPr>
        <w:t xml:space="preserve"> Unproctored writing samples and static portfolios historically evaluated analytical reasoning and written synthesis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Large Language Models (LLMs) and Generative AI (GenAI) have severely compromised the psychometric integrity of unproctored written artifacts and static portfolios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Experiments reveal that evaluators struggle to distinguish between human-authored work and AI-generated text, with GenAI tools enabling low-ability candidates to mask deficits in writing and reasoning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Consequently, unproctored writing samples and static portfolios present extreme gaming risks unless combined with real-time process keylogging, proctored execution, or interactive oral defenses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Generality versus Domain Specificity of Learning Velocity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fundamental question in educational psychometrics is whether "learning velocity" operates as a domain-general trait (analogous to general intelligence, </w:t>
      </w:r>
      <w:r w:rsidDel="00000000" w:rsidR="00000000" w:rsidRPr="00000000">
        <w:rPr>
          <w:rFonts w:ascii="Google Sans" w:cs="Google Sans" w:eastAsia="Google Sans" w:hAnsi="Google Sans"/>
          <w:color w:val="1f1f1f"/>
        </w:rPr>
        <w:drawing>
          <wp:inline distB="19050" distT="19050" distL="19050" distR="19050">
            <wp:extent cx="100459" cy="237449"/>
            <wp:effectExtent b="0" l="0" r="0" t="0"/>
            <wp:docPr id="27"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100459" cy="2374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as a domain-specific capability tied to specialized knowledge structures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Factor analytic and computational learning studies demonstrate a hierarchical structure:</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Domain-General Baseline (30% to 44% Variance):</w:t>
      </w:r>
      <w:r w:rsidDel="00000000" w:rsidR="00000000" w:rsidRPr="00000000">
        <w:rPr>
          <w:rFonts w:ascii="Google Sans" w:cs="Google Sans" w:eastAsia="Google Sans" w:hAnsi="Google Sans"/>
          <w:color w:val="1f1f1f"/>
          <w:rtl w:val="0"/>
        </w:rPr>
        <w:t xml:space="preserve"> A higher-order general factor (</w:t>
      </w:r>
      <w:r w:rsidDel="00000000" w:rsidR="00000000" w:rsidRPr="00000000">
        <w:rPr>
          <w:rFonts w:ascii="Google Sans" w:cs="Google Sans" w:eastAsia="Google Sans" w:hAnsi="Google Sans"/>
          <w:color w:val="1f1f1f"/>
        </w:rPr>
        <w:drawing>
          <wp:inline distB="19050" distT="19050" distL="19050" distR="19050">
            <wp:extent cx="196602" cy="243412"/>
            <wp:effectExtent b="0" l="0" r="0" t="0"/>
            <wp:docPr id="28"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196602" cy="2434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influences processing speed, working memory capacity (WMC), and executive function across diverse learning tasks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domain-general efficiency sets the baseline speed at which an individual processes novel feedback and manages cognitive load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Domain-Specific Dominance (&gt;50% Variance):</w:t>
      </w:r>
      <w:r w:rsidDel="00000000" w:rsidR="00000000" w:rsidRPr="00000000">
        <w:rPr>
          <w:rFonts w:ascii="Google Sans" w:cs="Google Sans" w:eastAsia="Google Sans" w:hAnsi="Google Sans"/>
          <w:color w:val="1f1f1f"/>
          <w:rtl w:val="0"/>
        </w:rPr>
        <w:t xml:space="preserve"> Learning velocity within specific disciplines (such as computer science or foreign language acquisition) is overwhelmingly governed by domain-specific Knowledge Components (KCs) and prior schema organization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An individual can display high learning velocity in mathematical logic due to efficient pattern abstraction while demonstrating average learning velocity in textual synthesis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Measuring learning velocity using abstract, non-verbal matrices predicts general cognitive flexibility but offers limited predictive power for specialized academic domain performance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maximize predictive validity and incremental value, learning velocity must be measured </w:t>
      </w:r>
      <w:r w:rsidDel="00000000" w:rsidR="00000000" w:rsidRPr="00000000">
        <w:rPr>
          <w:rFonts w:ascii="Google Sans" w:cs="Google Sans" w:eastAsia="Google Sans" w:hAnsi="Google Sans"/>
          <w:i w:val="1"/>
          <w:iCs w:val="1"/>
          <w:color w:val="1f1f1f"/>
          <w:rtl w:val="0"/>
        </w:rPr>
        <w:t xml:space="preserve">within or close to</w:t>
      </w:r>
      <w:r w:rsidDel="00000000" w:rsidR="00000000" w:rsidRPr="00000000">
        <w:rPr>
          <w:rFonts w:ascii="Google Sans" w:cs="Google Sans" w:eastAsia="Google Sans" w:hAnsi="Google Sans"/>
          <w:color w:val="1f1f1f"/>
          <w:rtl w:val="0"/>
        </w:rPr>
        <w:t xml:space="preserve"> the target domain (for example, assessing learning rate during an introductory programming exercise or a chemistry problem-solving task)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Psychometric Distortions, Subgroup Fairness, and Contextual Mitigation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Sources of Distortion in Dynamic and Work-Sample Assessments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non-static assessments aim to democratize talent identification, unmitigated implementations can introduce distinct psychometric distortions:</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Prior Exposure and Test Familiarity:</w:t>
      </w:r>
      <w:r w:rsidDel="00000000" w:rsidR="00000000" w:rsidRPr="00000000">
        <w:rPr>
          <w:rFonts w:ascii="Google Sans" w:cs="Google Sans" w:eastAsia="Google Sans" w:hAnsi="Google Sans"/>
          <w:color w:val="1f1f1f"/>
          <w:rtl w:val="0"/>
        </w:rPr>
        <w:t xml:space="preserve"> Candidates with prior access to test-preparation coaching or similar digital interfaces display inflated baseline performance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Dynamic assessments mitigate this by focusing on the </w:t>
      </w:r>
      <w:r w:rsidDel="00000000" w:rsidR="00000000" w:rsidRPr="00000000">
        <w:rPr>
          <w:rFonts w:ascii="Google Sans" w:cs="Google Sans" w:eastAsia="Google Sans" w:hAnsi="Google Sans"/>
          <w:i w:val="1"/>
          <w:iCs w:val="1"/>
          <w:color w:val="1f1f1f"/>
          <w:rtl w:val="0"/>
        </w:rPr>
        <w:t xml:space="preserve">rate of gain during the assessment</w:t>
      </w:r>
      <w:r w:rsidDel="00000000" w:rsidR="00000000" w:rsidRPr="00000000">
        <w:rPr>
          <w:rFonts w:ascii="Google Sans" w:cs="Google Sans" w:eastAsia="Google Sans" w:hAnsi="Google Sans"/>
          <w:color w:val="1f1f1f"/>
          <w:rtl w:val="0"/>
        </w:rPr>
        <w:t xml:space="preserve"> rather than pretest performance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Utilizing novel constructs or synthetic domains (such as an invented programming syntax or alien language logic) neutralizes prior coaching advantages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English Language Learners (ELL) and Multilingual Status:</w:t>
      </w:r>
      <w:r w:rsidDel="00000000" w:rsidR="00000000" w:rsidRPr="00000000">
        <w:rPr>
          <w:rFonts w:ascii="Google Sans" w:cs="Google Sans" w:eastAsia="Google Sans" w:hAnsi="Google Sans"/>
          <w:color w:val="1f1f1f"/>
          <w:rtl w:val="0"/>
        </w:rPr>
        <w:t xml:space="preserve"> Static verbal measures penalize ELL candidates due to language acquisition barriers rather than cognitive limitations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Dynamic assessments demonstrate equivalent validity across monolingual and bilingual populations (</w:t>
      </w:r>
      <w:r w:rsidDel="00000000" w:rsidR="00000000" w:rsidRPr="00000000">
        <w:rPr>
          <w:rFonts w:ascii="Google Sans" w:cs="Google Sans" w:eastAsia="Google Sans" w:hAnsi="Google Sans"/>
          <w:color w:val="1f1f1f"/>
        </w:rPr>
        <w:drawing>
          <wp:inline distB="19050" distT="19050" distL="19050" distR="19050">
            <wp:extent cx="710059" cy="246154"/>
            <wp:effectExtent b="0" l="0" r="0" t="0"/>
            <wp:docPr id="29"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710059" cy="246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offering multi-modal scaffolding or non-verbal prompts, dynamic approaches allow bilingual candidates to demonstrate rapid acquisition once instructional terms are clarified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Disability and Neurodivergence:</w:t>
      </w:r>
      <w:r w:rsidDel="00000000" w:rsidR="00000000" w:rsidRPr="00000000">
        <w:rPr>
          <w:rFonts w:ascii="Google Sans" w:cs="Google Sans" w:eastAsia="Google Sans" w:hAnsi="Google Sans"/>
          <w:color w:val="1f1f1f"/>
          <w:rtl w:val="0"/>
        </w:rPr>
        <w:t xml:space="preserve"> Timed, high-stakes static tests disproportionately disadvantage neurodivergent candidates (such as those with ADHD or Autism Spectrum conditions) due to executive function and processing speed bottlenecks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Dynamic micro-courses and modular practical tasks allow for asynchronous, self-paced engagement, accommodating varied cognitive styles while measuring ultimate task mastery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Technology Access and Digital Literacy:</w:t>
      </w:r>
      <w:r w:rsidDel="00000000" w:rsidR="00000000" w:rsidRPr="00000000">
        <w:rPr>
          <w:rFonts w:ascii="Google Sans" w:cs="Google Sans" w:eastAsia="Google Sans" w:hAnsi="Google Sans"/>
          <w:color w:val="1f1f1f"/>
          <w:rtl w:val="0"/>
        </w:rPr>
        <w:t xml:space="preserve"> Low-socioeconomic status candidates may experience friction with complex, bandwidth-intensive digital platforms. System architectures must rely on low-bandwidth, mobile-responsive web frameworks to prevent technological barriers from confounding capability estimates.</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Test Anxiety:</w:t>
      </w:r>
      <w:r w:rsidDel="00000000" w:rsidR="00000000" w:rsidRPr="00000000">
        <w:rPr>
          <w:rFonts w:ascii="Google Sans" w:cs="Google Sans" w:eastAsia="Google Sans" w:hAnsi="Google Sans"/>
          <w:color w:val="1f1f1f"/>
          <w:rtl w:val="0"/>
        </w:rPr>
        <w:t xml:space="preserve"> High-stakes single-occasion testing induces performance-inhibiting anxiety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Continuous, low-stakes dynamic micro-courses redistribute evaluation across multiple iterations, reducing emotional volatility and allowing true learning capability to emerge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Assessment Evidence Matrix</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synthesizes empirical findings across candidate assessment modalities, outlining their underlying constructs, psychometric properties, operational burdens, and strategic recommendations.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Assessment Method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Construct Measured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Evidence Strength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Reliability (rxx​)</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Predictive Validity (r)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Incremental Validity (ΔR2 over GPA/SAT)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Administration Burden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Gaming / AI Risk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Fairness Risk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Pretest–Instruction–Posttest (Domain Specific)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Zone of Proximal Development; Learning Potential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Strong</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0.80 – 0.90</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0.45 – 0.58</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133627" cy="209578"/>
                  <wp:effectExtent b="0" l="0" r="0" t="0"/>
                  <wp:docPr id="30"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1133627" cy="20957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(1–3 Hours)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to 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 (Equitable across ELL/Minority groups)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High-stakes identification of under-represented talent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Graduated-Prompt Adaptive Testing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Modifiability; Instructional Needs; Error Sensitivity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Strong</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0.82 – 0.88</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0.40 – 0.52</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047159" cy="209432"/>
                  <wp:effectExtent b="0" l="0" r="0" t="0"/>
                  <wp:docPr id="11"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1047159" cy="20943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to Moderate (45–90 Mins)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 (Reduces false negatives)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 screening &amp; early talent discovery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Digital Micro-Courses (Authentic Curricula)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Coursework Mastery; Persistence; Self-Regulated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Moderate to Strong</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0.85 – 0.92</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0.50 – 0.62</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220095" cy="209704"/>
                  <wp:effectExtent b="0" l="0" r="0" t="0"/>
                  <wp:docPr id="12"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1220095" cy="20970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(10–30 Hours over weeks)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 (Democratizes access to course rigor)</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alternative pathway for open-access admissions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Learning Velocity (AFM / Error Decay)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Component Acquisition Rate; Schema Formation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Moderate</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0.75 – 0.85</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0.35 – 0.48</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047159" cy="209432"/>
                  <wp:effectExtent b="0" l="0" r="0" t="0"/>
                  <wp:docPr id="13"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1047159" cy="20943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Embedded (Low standalone burden)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 (Neutralizes prior exposure differences)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Granular feature scoring within micro-courses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Standardized Quantitative Work Samples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Execution; Applied Problem Solving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Strong</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0.80 – 0.90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0.33 – 0.45</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133627" cy="209578"/>
                  <wp:effectExtent b="0" l="0" r="0" t="0"/>
                  <wp:docPr id="14"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1133627" cy="20957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(2–4 Hours)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(Slightly impacted by prior access)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Placement in quantitative/STEM pathways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Triarchic Practical &amp; Creative Scenarios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Practical &amp; Creative Intelligence; Tacit Knowledge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Moderate to Strong</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0.70 – 0.82</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0.35 – 0.45</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99616" cy="211376"/>
                  <wp:effectExtent b="0" l="0" r="0" t="0"/>
                  <wp:docPr id="15"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499616" cy="211376"/>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(1–2 Hours)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to 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Very Low (Significantly reduces ethnic score gaps)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Augmenting admissions to reduce adverse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Unproctored Writing &amp; Reasoning Samples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Written Communication; Critical Thinking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Weak (Given GenAI emergence)</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0.60 – 0.75</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0.20 – 0.35</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047159" cy="209432"/>
                  <wp:effectExtent b="0" l="0" r="0" t="0"/>
                  <wp:docPr id="16"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1047159" cy="209432"/>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(1 Hour)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to Extreme</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(Favors candidates with AI access)</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Unsuitable unless integrated with keylogging/oral defense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Blind Static Portfolios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Cumulative Achievement; Artifact Quality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Weak (Given GenAI emergence)</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0.25 – 0.40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47159" cy="209432"/>
                  <wp:effectExtent b="0" l="0" r="0" t="0"/>
                  <wp:docPr id="17"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1047159" cy="20943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preparation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to Extreme</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(Favors candidates with external resources)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Unsuitable for unverified remote admissions</w:t>
            </w:r>
          </w:p>
        </w:tc>
      </w:tr>
    </w:tbl>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Three-Tier Classification Scheme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Methods are classified into three implementation tiers based on psychometric validity, resistance to AI contamination, subgroup fairness, and operational viability:</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Ready for Limited Use (High Psychometric Integrity &amp; Low AI Vulnerability)</w:t>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Proctored Domain-Specific Micro-Courses:</w:t>
      </w:r>
      <w:r w:rsidDel="00000000" w:rsidR="00000000" w:rsidRPr="00000000">
        <w:rPr>
          <w:rFonts w:ascii="Google Sans" w:cs="Google Sans" w:eastAsia="Google Sans" w:hAnsi="Google Sans"/>
          <w:color w:val="1f1f1f"/>
          <w:rtl w:val="0"/>
        </w:rPr>
        <w:t xml:space="preserve"> Highly predictive, resistant to AI spoofing when proctored, and offers exceptional incremental validity over GPA/test scores by directly assessing performance on actual course content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IRT-Based Graduated-Prompt Adaptive Assessments:</w:t>
      </w:r>
      <w:r w:rsidDel="00000000" w:rsidR="00000000" w:rsidRPr="00000000">
        <w:rPr>
          <w:rFonts w:ascii="Google Sans" w:cs="Google Sans" w:eastAsia="Google Sans" w:hAnsi="Google Sans"/>
          <w:color w:val="1f1f1f"/>
          <w:rtl w:val="0"/>
        </w:rPr>
        <w:t xml:space="preserve"> Psychometrically robust, overcomes historical gain-score unreliability through Rasch/CAT modeling, highly equitable across ELL and under-resourced populations, and measures responsiveness to instruction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Proctored Quantitative Work Samples &amp; Job Simulations:</w:t>
      </w:r>
      <w:r w:rsidDel="00000000" w:rsidR="00000000" w:rsidRPr="00000000">
        <w:rPr>
          <w:rFonts w:ascii="Google Sans" w:cs="Google Sans" w:eastAsia="Google Sans" w:hAnsi="Google Sans"/>
          <w:color w:val="1f1f1f"/>
          <w:rtl w:val="0"/>
        </w:rPr>
        <w:t xml:space="preserve"> High criterion-related validity, low subgroup bias relative to standardized tests, and directly evaluates functional task execution in quantitative and technical domains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2: Promising but Requiring Validation (High Potential, Requires Technical Optimization)</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Additive Factors Model (AFM) Learning-Velocity Metrics:</w:t>
      </w:r>
      <w:r w:rsidDel="00000000" w:rsidR="00000000" w:rsidRPr="00000000">
        <w:rPr>
          <w:rFonts w:ascii="Google Sans" w:cs="Google Sans" w:eastAsia="Google Sans" w:hAnsi="Google Sans"/>
          <w:color w:val="1f1f1f"/>
          <w:rtl w:val="0"/>
        </w:rPr>
        <w:t xml:space="preserve"> Process-level error decay curves and skill acquisition parameters provide clean estimates of capability, but require standardization across diverse learning platforms and large sample sizes for calibration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Triarchic Practical &amp; Creative Problem-Solving Scenarios:</w:t>
      </w:r>
      <w:r w:rsidDel="00000000" w:rsidR="00000000" w:rsidRPr="00000000">
        <w:rPr>
          <w:rFonts w:ascii="Google Sans" w:cs="Google Sans" w:eastAsia="Google Sans" w:hAnsi="Google Sans"/>
          <w:color w:val="1f1f1f"/>
          <w:rtl w:val="0"/>
        </w:rPr>
        <w:t xml:space="preserve"> Proven track record in reducing ethnic score disparities and boosting incremental validity (e.g., Rainbow Project)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but requires automated natural language rubric scoring systems to scale efficiently.</w:t>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Process-Tracked Writing and Reasoning Modules:</w:t>
      </w:r>
      <w:r w:rsidDel="00000000" w:rsidR="00000000" w:rsidRPr="00000000">
        <w:rPr>
          <w:rFonts w:ascii="Google Sans" w:cs="Google Sans" w:eastAsia="Google Sans" w:hAnsi="Google Sans"/>
          <w:color w:val="1f1f1f"/>
          <w:rtl w:val="0"/>
        </w:rPr>
        <w:t xml:space="preserve"> Incorporates real-time keylogging, version histories, and prompt-use rubrics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transforms traditional essay writing into an auditable process, though operational scaling requires further field validation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3: Unsuitable or High-Risk (High AI Vulnerability, Psychometric Flaws, or High Bias)</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Unproctored Static Portfolios and Project Submissions:</w:t>
      </w:r>
      <w:r w:rsidDel="00000000" w:rsidR="00000000" w:rsidRPr="00000000">
        <w:rPr>
          <w:rFonts w:ascii="Google Sans" w:cs="Google Sans" w:eastAsia="Google Sans" w:hAnsi="Google Sans"/>
          <w:color w:val="1f1f1f"/>
          <w:rtl w:val="0"/>
        </w:rPr>
        <w:t xml:space="preserve"> Vulnerable to GenAI generation, contract cheating, and external parental or coaching assistance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Confounded by socio-economic privilege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Standalone Unproctored Essay / Writing Samples:</w:t>
      </w:r>
      <w:r w:rsidDel="00000000" w:rsidR="00000000" w:rsidRPr="00000000">
        <w:rPr>
          <w:rFonts w:ascii="Google Sans" w:cs="Google Sans" w:eastAsia="Google Sans" w:hAnsi="Google Sans"/>
          <w:color w:val="1f1f1f"/>
          <w:rtl w:val="0"/>
        </w:rPr>
        <w:t xml:space="preserve"> GenAI text generation renders unproctored written artifacts invalid as indicators of human critical thinking or independent capability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Classical Test Theory Raw Difference Scores:</w:t>
      </w:r>
      <w:r w:rsidDel="00000000" w:rsidR="00000000" w:rsidRPr="00000000">
        <w:rPr>
          <w:rFonts w:ascii="Google Sans" w:cs="Google Sans" w:eastAsia="Google Sans" w:hAnsi="Google Sans"/>
          <w:color w:val="1f1f1f"/>
          <w:rtl w:val="0"/>
        </w:rPr>
        <w:t xml:space="preserve"> Psychometrically invalid due to compound error variance, regression to the mean, and severe ceiling and floor distortions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Minimum Pilot Battery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deploy an operationally viable, psychometrically sound, and fair evaluation system, a four-component Minimum Pilot Battery is recommended. The battery requires no more than </w:t>
      </w:r>
      <w:r w:rsidDel="00000000" w:rsidR="00000000" w:rsidRPr="00000000">
        <w:rPr>
          <w:rFonts w:ascii="Google Sans" w:cs="Google Sans" w:eastAsia="Google Sans" w:hAnsi="Google Sans"/>
          <w:b w:val="1"/>
          <w:bCs w:val="1"/>
          <w:color w:val="1f1f1f"/>
          <w:rtl w:val="0"/>
        </w:rPr>
        <w:t xml:space="preserve">3.5 hours</w:t>
      </w:r>
      <w:r w:rsidDel="00000000" w:rsidR="00000000" w:rsidRPr="00000000">
        <w:rPr>
          <w:rFonts w:ascii="Google Sans" w:cs="Google Sans" w:eastAsia="Google Sans" w:hAnsi="Google Sans"/>
          <w:color w:val="1f1f1f"/>
          <w:rtl w:val="0"/>
        </w:rPr>
        <w:t xml:space="preserve"> of total candidate time while maximizing predictive power and minimizing administrative overhead.</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1: Adaptive Graduated-Prompt Learning Module</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Measures cognitive modifiability, error correction, and instructional responsiveness in abstract logic and pattern abstraction, decoupling baseline preparation from innate learning potential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Estimated Completion Time:</w:t>
      </w:r>
      <w:r w:rsidDel="00000000" w:rsidR="00000000" w:rsidRPr="00000000">
        <w:rPr>
          <w:rFonts w:ascii="Google Sans" w:cs="Google Sans" w:eastAsia="Google Sans" w:hAnsi="Google Sans"/>
          <w:color w:val="1f1f1f"/>
          <w:rtl w:val="0"/>
        </w:rPr>
        <w:t xml:space="preserve"> 45 minutes.</w:t>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Scoring Method:</w:t>
      </w:r>
      <w:r w:rsidDel="00000000" w:rsidR="00000000" w:rsidRPr="00000000">
        <w:rPr>
          <w:rFonts w:ascii="Google Sans" w:cs="Google Sans" w:eastAsia="Google Sans" w:hAnsi="Google Sans"/>
          <w:color w:val="1f1f1f"/>
          <w:rtl w:val="0"/>
        </w:rPr>
        <w:t xml:space="preserve"> Fully automated IRT Rasch Model estimating latent growth (</w:t>
      </w:r>
      <w:r w:rsidDel="00000000" w:rsidR="00000000" w:rsidRPr="00000000">
        <w:rPr>
          <w:rFonts w:ascii="Google Sans" w:cs="Google Sans" w:eastAsia="Google Sans" w:hAnsi="Google Sans"/>
          <w:color w:val="1f1f1f"/>
        </w:rPr>
        <w:drawing>
          <wp:inline distB="19050" distT="19050" distL="19050" distR="19050">
            <wp:extent cx="94357" cy="245328"/>
            <wp:effectExtent b="0" l="0" r="0" t="0"/>
            <wp:docPr id="18"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94357" cy="2453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prompt-count efficiency parameters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Required Accommodations:</w:t>
      </w:r>
      <w:r w:rsidDel="00000000" w:rsidR="00000000" w:rsidRPr="00000000">
        <w:rPr>
          <w:rFonts w:ascii="Google Sans" w:cs="Google Sans" w:eastAsia="Google Sans" w:hAnsi="Google Sans"/>
          <w:color w:val="1f1f1f"/>
          <w:rtl w:val="0"/>
        </w:rPr>
        <w:t xml:space="preserve"> Extended time limits for processing; screen-reader compatibility; high-contrast UI; non-verbal options for ELL candidates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Human-Review Requirement:</w:t>
      </w:r>
      <w:r w:rsidDel="00000000" w:rsidR="00000000" w:rsidRPr="00000000">
        <w:rPr>
          <w:rFonts w:ascii="Google Sans" w:cs="Google Sans" w:eastAsia="Google Sans" w:hAnsi="Google Sans"/>
          <w:color w:val="1f1f1f"/>
          <w:rtl w:val="0"/>
        </w:rPr>
        <w:t xml:space="preserve"> None (100% automated).</w:t>
      </w:r>
    </w:p>
    <w:p w:rsidR="00000000" w:rsidDel="00000000" w:rsidP="00000000" w:rsidRDefault="00000000" w:rsidRPr="00000000" w14:paraId="000000B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Validation Needed:</w:t>
      </w:r>
      <w:r w:rsidDel="00000000" w:rsidR="00000000" w:rsidRPr="00000000">
        <w:rPr>
          <w:rFonts w:ascii="Google Sans" w:cs="Google Sans" w:eastAsia="Google Sans" w:hAnsi="Google Sans"/>
          <w:color w:val="1f1f1f"/>
          <w:rtl w:val="0"/>
        </w:rPr>
        <w:t xml:space="preserve"> Local item-calibration on target demographic populations to ensure absence of Differential Item Functioning (DIF).</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2: Standardized Quantitative Work Sample &amp; Simulation</w:t>
      </w:r>
    </w:p>
    <w:p w:rsidR="00000000" w:rsidDel="00000000" w:rsidP="00000000" w:rsidRDefault="00000000" w:rsidRPr="00000000" w14:paraId="000000B7">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Evaluates domain-specific execution, mathematical reasoning, and data manipulation skills under realistic task constraints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Estimated Completion Time:</w:t>
      </w:r>
      <w:r w:rsidDel="00000000" w:rsidR="00000000" w:rsidRPr="00000000">
        <w:rPr>
          <w:rFonts w:ascii="Google Sans" w:cs="Google Sans" w:eastAsia="Google Sans" w:hAnsi="Google Sans"/>
          <w:color w:val="1f1f1f"/>
          <w:rtl w:val="0"/>
        </w:rPr>
        <w:t xml:space="preserve"> 60 minutes.</w:t>
      </w:r>
    </w:p>
    <w:p w:rsidR="00000000" w:rsidDel="00000000" w:rsidP="00000000" w:rsidRDefault="00000000" w:rsidRPr="00000000" w14:paraId="000000B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Scoring Method:</w:t>
      </w:r>
      <w:r w:rsidDel="00000000" w:rsidR="00000000" w:rsidRPr="00000000">
        <w:rPr>
          <w:rFonts w:ascii="Google Sans" w:cs="Google Sans" w:eastAsia="Google Sans" w:hAnsi="Google Sans"/>
          <w:color w:val="1f1f1f"/>
          <w:rtl w:val="0"/>
        </w:rPr>
        <w:t xml:space="preserve"> Automated programmatic unit-testing, automated rubric evaluation for mathematical steps, and computational accuracy scoring.</w:t>
      </w:r>
    </w:p>
    <w:p w:rsidR="00000000" w:rsidDel="00000000" w:rsidP="00000000" w:rsidRDefault="00000000" w:rsidRPr="00000000" w14:paraId="000000B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Required Accommodations:</w:t>
      </w:r>
      <w:r w:rsidDel="00000000" w:rsidR="00000000" w:rsidRPr="00000000">
        <w:rPr>
          <w:rFonts w:ascii="Google Sans" w:cs="Google Sans" w:eastAsia="Google Sans" w:hAnsi="Google Sans"/>
          <w:color w:val="1f1f1f"/>
          <w:rtl w:val="0"/>
        </w:rPr>
        <w:t xml:space="preserve"> Screen reader accessibility, accessible calculator/IDE interfaces, extended execution windows.</w:t>
      </w:r>
    </w:p>
    <w:p w:rsidR="00000000" w:rsidDel="00000000" w:rsidP="00000000" w:rsidRDefault="00000000" w:rsidRPr="00000000" w14:paraId="000000B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Human-Review Requirement:</w:t>
      </w:r>
      <w:r w:rsidDel="00000000" w:rsidR="00000000" w:rsidRPr="00000000">
        <w:rPr>
          <w:rFonts w:ascii="Google Sans" w:cs="Google Sans" w:eastAsia="Google Sans" w:hAnsi="Google Sans"/>
          <w:color w:val="1f1f1f"/>
          <w:rtl w:val="0"/>
        </w:rPr>
        <w:t xml:space="preserve"> Human audit required only for flagged anomalous execution scripts (&lt;5% of cases).</w:t>
      </w:r>
    </w:p>
    <w:p w:rsidR="00000000" w:rsidDel="00000000" w:rsidP="00000000" w:rsidRDefault="00000000" w:rsidRPr="00000000" w14:paraId="000000B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Validation Needed:</w:t>
      </w:r>
      <w:r w:rsidDel="00000000" w:rsidR="00000000" w:rsidRPr="00000000">
        <w:rPr>
          <w:rFonts w:ascii="Google Sans" w:cs="Google Sans" w:eastAsia="Google Sans" w:hAnsi="Google Sans"/>
          <w:color w:val="1f1f1f"/>
          <w:rtl w:val="0"/>
        </w:rPr>
        <w:t xml:space="preserve"> Criterion-related validation against first-year gateway course grades in quantitative fields (calculus, statistics, introductory computer science).</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3: Short Interactive Domain Micro-Course</w:t>
      </w:r>
    </w:p>
    <w:p w:rsidR="00000000" w:rsidDel="00000000" w:rsidP="00000000" w:rsidRDefault="00000000" w:rsidRPr="00000000" w14:paraId="000000B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Measures realistic academic coursework survival skills—specifically self-directed reading, video lecture digestion, and short-term retention/application of novel academic material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Estimated Completion Time:</w:t>
      </w:r>
      <w:r w:rsidDel="00000000" w:rsidR="00000000" w:rsidRPr="00000000">
        <w:rPr>
          <w:rFonts w:ascii="Google Sans" w:cs="Google Sans" w:eastAsia="Google Sans" w:hAnsi="Google Sans"/>
          <w:color w:val="1f1f1f"/>
          <w:rtl w:val="0"/>
        </w:rPr>
        <w:t xml:space="preserve"> 60 minutes.</w:t>
      </w:r>
    </w:p>
    <w:p w:rsidR="00000000" w:rsidDel="00000000" w:rsidP="00000000" w:rsidRDefault="00000000" w:rsidRPr="00000000" w14:paraId="000000C0">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Scoring Method:</w:t>
      </w:r>
      <w:r w:rsidDel="00000000" w:rsidR="00000000" w:rsidRPr="00000000">
        <w:rPr>
          <w:rFonts w:ascii="Google Sans" w:cs="Google Sans" w:eastAsia="Google Sans" w:hAnsi="Google Sans"/>
          <w:color w:val="1f1f1f"/>
          <w:rtl w:val="0"/>
        </w:rPr>
        <w:t xml:space="preserve"> Automated posttest scoring combined with process-level tracking of video engagement and practice task completion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Required Accommodations:</w:t>
      </w:r>
      <w:r w:rsidDel="00000000" w:rsidR="00000000" w:rsidRPr="00000000">
        <w:rPr>
          <w:rFonts w:ascii="Google Sans" w:cs="Google Sans" w:eastAsia="Google Sans" w:hAnsi="Google Sans"/>
          <w:color w:val="1f1f1f"/>
          <w:rtl w:val="0"/>
        </w:rPr>
        <w:t xml:space="preserve"> Closed captioning, multi-speed playback, downloadable offline transcriptions.</w:t>
      </w:r>
    </w:p>
    <w:p w:rsidR="00000000" w:rsidDel="00000000" w:rsidP="00000000" w:rsidRDefault="00000000" w:rsidRPr="00000000" w14:paraId="000000C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Human-Review Requirement:</w:t>
      </w:r>
      <w:r w:rsidDel="00000000" w:rsidR="00000000" w:rsidRPr="00000000">
        <w:rPr>
          <w:rFonts w:ascii="Google Sans" w:cs="Google Sans" w:eastAsia="Google Sans" w:hAnsi="Google Sans"/>
          <w:color w:val="1f1f1f"/>
          <w:rtl w:val="0"/>
        </w:rPr>
        <w:t xml:space="preserve"> None (100% automated).</w:t>
      </w:r>
    </w:p>
    <w:p w:rsidR="00000000" w:rsidDel="00000000" w:rsidP="00000000" w:rsidRDefault="00000000" w:rsidRPr="00000000" w14:paraId="000000C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Validation Needed:</w:t>
      </w:r>
      <w:r w:rsidDel="00000000" w:rsidR="00000000" w:rsidRPr="00000000">
        <w:rPr>
          <w:rFonts w:ascii="Google Sans" w:cs="Google Sans" w:eastAsia="Google Sans" w:hAnsi="Google Sans"/>
          <w:color w:val="1f1f1f"/>
          <w:rtl w:val="0"/>
        </w:rPr>
        <w:t xml:space="preserve"> Longitudinal tracking to confirm predictive validity for first-year credit accumulation and retention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4: Process-Tracked Practical Reasoning and Synthesis Task</w:t>
      </w:r>
    </w:p>
    <w:p w:rsidR="00000000" w:rsidDel="00000000" w:rsidP="00000000" w:rsidRDefault="00000000" w:rsidRPr="00000000" w14:paraId="000000C5">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Evaluates critical reasoning, practical problem-solving, and structured communication while controlling for unauthorized GenAI exploitation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Candidates engage with a complex scenario, utilize an integrated AI research assistant, and draft a synthesis report while the system logs process dynamics and prompt interactions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Estimated Completion Time:</w:t>
      </w:r>
      <w:r w:rsidDel="00000000" w:rsidR="00000000" w:rsidRPr="00000000">
        <w:rPr>
          <w:rFonts w:ascii="Google Sans" w:cs="Google Sans" w:eastAsia="Google Sans" w:hAnsi="Google Sans"/>
          <w:color w:val="1f1f1f"/>
          <w:rtl w:val="0"/>
        </w:rPr>
        <w:t xml:space="preserve"> 45 minutes.</w:t>
      </w:r>
    </w:p>
    <w:p w:rsidR="00000000" w:rsidDel="00000000" w:rsidP="00000000" w:rsidRDefault="00000000" w:rsidRPr="00000000" w14:paraId="000000C7">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Scoring Method:</w:t>
      </w:r>
      <w:r w:rsidDel="00000000" w:rsidR="00000000" w:rsidRPr="00000000">
        <w:rPr>
          <w:rFonts w:ascii="Google Sans" w:cs="Google Sans" w:eastAsia="Google Sans" w:hAnsi="Google Sans"/>
          <w:color w:val="1f1f1f"/>
          <w:rtl w:val="0"/>
        </w:rPr>
        <w:t xml:space="preserve"> Hybrid scoring utilizing an automated prompt-and-synthesis rubric (evaluating argument structure, source integration, and prompt engineering quality) combined with human expert evaluation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Required Accommodations:</w:t>
      </w:r>
      <w:r w:rsidDel="00000000" w:rsidR="00000000" w:rsidRPr="00000000">
        <w:rPr>
          <w:rFonts w:ascii="Google Sans" w:cs="Google Sans" w:eastAsia="Google Sans" w:hAnsi="Google Sans"/>
          <w:color w:val="1f1f1f"/>
          <w:rtl w:val="0"/>
        </w:rPr>
        <w:t xml:space="preserve"> Speech-to-text input, screen amplification, adjusted timing controls.</w:t>
      </w:r>
    </w:p>
    <w:p w:rsidR="00000000" w:rsidDel="00000000" w:rsidP="00000000" w:rsidRDefault="00000000" w:rsidRPr="00000000" w14:paraId="000000C9">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Human-Review Requirement:</w:t>
      </w:r>
      <w:r w:rsidDel="00000000" w:rsidR="00000000" w:rsidRPr="00000000">
        <w:rPr>
          <w:rFonts w:ascii="Google Sans" w:cs="Google Sans" w:eastAsia="Google Sans" w:hAnsi="Google Sans"/>
          <w:color w:val="1f1f1f"/>
          <w:rtl w:val="0"/>
        </w:rPr>
        <w:t xml:space="preserve"> Double-blind human review by trained evaluators for the final written synthesis.</w:t>
      </w:r>
    </w:p>
    <w:p w:rsidR="00000000" w:rsidDel="00000000" w:rsidP="00000000" w:rsidRDefault="00000000" w:rsidRPr="00000000" w14:paraId="000000CA">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Validation Needed:</w:t>
      </w:r>
      <w:r w:rsidDel="00000000" w:rsidR="00000000" w:rsidRPr="00000000">
        <w:rPr>
          <w:rFonts w:ascii="Google Sans" w:cs="Google Sans" w:eastAsia="Google Sans" w:hAnsi="Google Sans"/>
          <w:color w:val="1f1f1f"/>
          <w:rtl w:val="0"/>
        </w:rPr>
        <w:t xml:space="preserve"> Inter-rater reliability analysis (</w:t>
      </w:r>
      <w:r w:rsidDel="00000000" w:rsidR="00000000" w:rsidRPr="00000000">
        <w:rPr>
          <w:rFonts w:ascii="Google Sans" w:cs="Google Sans" w:eastAsia="Google Sans" w:hAnsi="Google Sans"/>
          <w:color w:val="1f1f1f"/>
        </w:rPr>
        <w:drawing>
          <wp:inline distB="19050" distT="19050" distL="19050" distR="19050">
            <wp:extent cx="605433" cy="245957"/>
            <wp:effectExtent b="0" l="0" r="0" t="0"/>
            <wp:docPr id="19"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605433" cy="245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incremental validity verification against first-year humanities/social science performance.</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Multi-Arm Longitudinal Validation Study Design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rigorously evaluate whether non-static assessments identify high-capability candidates overlooked by traditional academic metrics, a multi-site longitudinal study design comparing five parallel predictive models across a four-year evaluation window is established.</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Participant Population and Sample Size</w:t>
      </w:r>
    </w:p>
    <w:p w:rsidR="00000000" w:rsidDel="00000000" w:rsidP="00000000" w:rsidRDefault="00000000" w:rsidRPr="00000000" w14:paraId="000000CE">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Sample: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16946" cy="247108"/>
            <wp:effectExtent b="0" l="0" r="0" t="0"/>
            <wp:docPr id="20"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1016946" cy="2471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matriculating undergraduate students across a diverse network of higher education institutions (ranging from open-access state universities to selective research institutions).</w:t>
      </w:r>
    </w:p>
    <w:p w:rsidR="00000000" w:rsidDel="00000000" w:rsidP="00000000" w:rsidRDefault="00000000" w:rsidRPr="00000000" w14:paraId="000000CF">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Subgroup Oversampling:</w:t>
      </w:r>
      <w:r w:rsidDel="00000000" w:rsidR="00000000" w:rsidRPr="00000000">
        <w:rPr>
          <w:rFonts w:ascii="Google Sans" w:cs="Google Sans" w:eastAsia="Google Sans" w:hAnsi="Google Sans"/>
          <w:color w:val="1f1f1f"/>
          <w:rtl w:val="0"/>
        </w:rPr>
        <w:t xml:space="preserve"> Stratified sampling ensuring robust representation of low-SES students (</w:t>
      </w:r>
      <w:r w:rsidDel="00000000" w:rsidR="00000000" w:rsidRPr="00000000">
        <w:rPr>
          <w:rFonts w:ascii="Google Sans" w:cs="Google Sans" w:eastAsia="Google Sans" w:hAnsi="Google Sans"/>
          <w:color w:val="1f1f1f"/>
        </w:rPr>
        <w:drawing>
          <wp:inline distB="19050" distT="19050" distL="19050" distR="19050">
            <wp:extent cx="857845" cy="247822"/>
            <wp:effectExtent b="0" l="0" r="0" t="0"/>
            <wp:docPr id="1"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857845" cy="2478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English Language Learners (</w:t>
      </w:r>
      <w:r w:rsidDel="00000000" w:rsidR="00000000" w:rsidRPr="00000000">
        <w:rPr>
          <w:rFonts w:ascii="Google Sans" w:cs="Google Sans" w:eastAsia="Google Sans" w:hAnsi="Google Sans"/>
          <w:color w:val="1f1f1f"/>
        </w:rPr>
        <w:drawing>
          <wp:inline distB="19050" distT="19050" distL="19050" distR="19050">
            <wp:extent cx="857845" cy="247822"/>
            <wp:effectExtent b="0" l="0" r="0" t="0"/>
            <wp:docPr id="2"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857845" cy="2478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first-generation college students (</w:t>
      </w:r>
      <w:r w:rsidDel="00000000" w:rsidR="00000000" w:rsidRPr="00000000">
        <w:rPr>
          <w:rFonts w:ascii="Google Sans" w:cs="Google Sans" w:eastAsia="Google Sans" w:hAnsi="Google Sans"/>
          <w:color w:val="1f1f1f"/>
        </w:rPr>
        <w:drawing>
          <wp:inline distB="19050" distT="19050" distL="19050" distR="19050">
            <wp:extent cx="857845" cy="247822"/>
            <wp:effectExtent b="0" l="0" r="0" t="0"/>
            <wp:docPr id="3"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857845" cy="2478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neurodivergent individuals (</w:t>
      </w:r>
      <w:r w:rsidDel="00000000" w:rsidR="00000000" w:rsidRPr="00000000">
        <w:rPr>
          <w:rFonts w:ascii="Google Sans" w:cs="Google Sans" w:eastAsia="Google Sans" w:hAnsi="Google Sans"/>
          <w:color w:val="1f1f1f"/>
        </w:rPr>
        <w:drawing>
          <wp:inline distB="19050" distT="19050" distL="19050" distR="19050">
            <wp:extent cx="857845" cy="247822"/>
            <wp:effectExtent b="0" l="0" r="0" t="0"/>
            <wp:docPr id="4"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857845" cy="2478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Experimental Model Comparisons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participating applicants complete standard application procedures and the pilot assessment battery. Opportunity recommendation decisions are algorithmically modeled under five parallel arms:</w:t>
      </w:r>
    </w:p>
    <w:p w:rsidR="00000000" w:rsidDel="00000000" w:rsidP="00000000" w:rsidRDefault="00000000" w:rsidRPr="00000000" w14:paraId="000000D2">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Model A (Baseline Control):</w:t>
      </w:r>
      <w:r w:rsidDel="00000000" w:rsidR="00000000" w:rsidRPr="00000000">
        <w:rPr>
          <w:rFonts w:ascii="Google Sans" w:cs="Google Sans" w:eastAsia="Google Sans" w:hAnsi="Google Sans"/>
          <w:color w:val="1f1f1f"/>
          <w:rtl w:val="0"/>
        </w:rPr>
        <w:t xml:space="preserve"> High School GPA + Standardized Test Scores (SAT/ACT) alone.</w:t>
      </w:r>
    </w:p>
    <w:p w:rsidR="00000000" w:rsidDel="00000000" w:rsidP="00000000" w:rsidRDefault="00000000" w:rsidRPr="00000000" w14:paraId="000000D3">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Model B (Dynamic Focus):</w:t>
      </w:r>
      <w:r w:rsidDel="00000000" w:rsidR="00000000" w:rsidRPr="00000000">
        <w:rPr>
          <w:rFonts w:ascii="Google Sans" w:cs="Google Sans" w:eastAsia="Google Sans" w:hAnsi="Google Sans"/>
          <w:color w:val="1f1f1f"/>
          <w:rtl w:val="0"/>
        </w:rPr>
        <w:t xml:space="preserve"> Model A + Dynamic Assessment Components (Graduated Prompts + Micro-Course Learning Velocity).</w:t>
      </w:r>
    </w:p>
    <w:p w:rsidR="00000000" w:rsidDel="00000000" w:rsidP="00000000" w:rsidRDefault="00000000" w:rsidRPr="00000000" w14:paraId="000000D4">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Model C (Work-Sample Focus):</w:t>
      </w:r>
      <w:r w:rsidDel="00000000" w:rsidR="00000000" w:rsidRPr="00000000">
        <w:rPr>
          <w:rFonts w:ascii="Google Sans" w:cs="Google Sans" w:eastAsia="Google Sans" w:hAnsi="Google Sans"/>
          <w:color w:val="1f1f1f"/>
          <w:rtl w:val="0"/>
        </w:rPr>
        <w:t xml:space="preserve"> Model A + Quantitative Work Samples + Practical Problem-Solving Tasks.</w:t>
      </w:r>
    </w:p>
    <w:p w:rsidR="00000000" w:rsidDel="00000000" w:rsidP="00000000" w:rsidRDefault="00000000" w:rsidRPr="00000000" w14:paraId="000000D5">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Model D (Complete Integrated Battery):</w:t>
      </w:r>
      <w:r w:rsidDel="00000000" w:rsidR="00000000" w:rsidRPr="00000000">
        <w:rPr>
          <w:rFonts w:ascii="Google Sans" w:cs="Google Sans" w:eastAsia="Google Sans" w:hAnsi="Google Sans"/>
          <w:color w:val="1f1f1f"/>
          <w:rtl w:val="0"/>
        </w:rPr>
        <w:t xml:space="preserve"> Model A + Full Minimum Pilot Battery (Dynamic + Work Samples).</w:t>
      </w:r>
    </w:p>
    <w:p w:rsidR="00000000" w:rsidDel="00000000" w:rsidP="00000000" w:rsidRDefault="00000000" w:rsidRPr="00000000" w14:paraId="000000D6">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Model E (Human Judgment Control):</w:t>
      </w:r>
      <w:r w:rsidDel="00000000" w:rsidR="00000000" w:rsidRPr="00000000">
        <w:rPr>
          <w:rFonts w:ascii="Google Sans" w:cs="Google Sans" w:eastAsia="Google Sans" w:hAnsi="Google Sans"/>
          <w:color w:val="1f1f1f"/>
          <w:rtl w:val="0"/>
        </w:rPr>
        <w:t xml:space="preserve"> Traditional holistic review by admissions counselors utilizing essays, recommendation letters, and transcripts.</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Predicted Criteria and Outcome Measures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Participant progress is tracked longitudinally across five key educational and career criteria:</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First-Year Cumulative GPA (1Y-GPA):</w:t>
      </w:r>
      <w:r w:rsidDel="00000000" w:rsidR="00000000" w:rsidRPr="00000000">
        <w:rPr>
          <w:rFonts w:ascii="Google Sans" w:cs="Google Sans" w:eastAsia="Google Sans" w:hAnsi="Google Sans"/>
          <w:color w:val="1f1f1f"/>
          <w:rtl w:val="0"/>
        </w:rPr>
        <w:t xml:space="preserve"> Standardized across academic majors.</w:t>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Gateway Course Success Rate:</w:t>
      </w:r>
      <w:r w:rsidDel="00000000" w:rsidR="00000000" w:rsidRPr="00000000">
        <w:rPr>
          <w:rFonts w:ascii="Google Sans" w:cs="Google Sans" w:eastAsia="Google Sans" w:hAnsi="Google Sans"/>
          <w:color w:val="1f1f1f"/>
          <w:rtl w:val="0"/>
        </w:rPr>
        <w:t xml:space="preserve"> Grade performance in introductory, high-attrition courses (such as Calculus I, General Chemistry, English Composition, and Computer Science I).</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Annual Credit Accumulation Rate:</w:t>
      </w:r>
      <w:r w:rsidDel="00000000" w:rsidR="00000000" w:rsidRPr="00000000">
        <w:rPr>
          <w:rFonts w:ascii="Google Sans" w:cs="Google Sans" w:eastAsia="Google Sans" w:hAnsi="Google Sans"/>
          <w:color w:val="1f1f1f"/>
          <w:rtl w:val="0"/>
        </w:rPr>
        <w:t xml:space="preserve"> Ratio of completed credits to attempted credits per academic year.</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Degree Persistence / Retention:</w:t>
      </w:r>
      <w:r w:rsidDel="00000000" w:rsidR="00000000" w:rsidRPr="00000000">
        <w:rPr>
          <w:rFonts w:ascii="Google Sans" w:cs="Google Sans" w:eastAsia="Google Sans" w:hAnsi="Google Sans"/>
          <w:color w:val="1f1f1f"/>
          <w:rtl w:val="0"/>
        </w:rPr>
        <w:t xml:space="preserve"> Enrollment continuity into Year 2 and Year 3.</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Practical Performance Metrics:</w:t>
      </w:r>
      <w:r w:rsidDel="00000000" w:rsidR="00000000" w:rsidRPr="00000000">
        <w:rPr>
          <w:rFonts w:ascii="Google Sans" w:cs="Google Sans" w:eastAsia="Google Sans" w:hAnsi="Google Sans"/>
          <w:color w:val="1f1f1f"/>
          <w:rtl w:val="0"/>
        </w:rPr>
        <w:t xml:space="preserve"> Ratings from professional internships, capstone project evaluation scores, and technical training placement rates.</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Framework and Hypotheses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analytic framework uses Hierarchical Linear Modeling (HLM) to account for institutional and major-level nesting, alongside Structural Equation Modeling (SEM) to test incremental validity: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5"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hypotheses tested include:</w:t>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Incremental Validity (</w:t>
      </w:r>
      <w:r w:rsidDel="00000000" w:rsidR="00000000" w:rsidRPr="00000000">
        <w:rPr>
          <w:rFonts w:ascii="Google Sans" w:cs="Google Sans" w:eastAsia="Google Sans" w:hAnsi="Google Sans"/>
          <w:b w:val="1"/>
          <w:bCs w:val="1"/>
          <w:color w:val="1f1f1f"/>
        </w:rPr>
        <w:drawing>
          <wp:inline distB="19050" distT="19050" distL="19050" distR="19050">
            <wp:extent cx="241102" cy="250746"/>
            <wp:effectExtent b="0" l="0" r="0" t="0"/>
            <wp:docPr id="6"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241102" cy="25074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Model D will account for statistically significant unique variance (</w:t>
      </w:r>
      <w:r w:rsidDel="00000000" w:rsidR="00000000" w:rsidRPr="00000000">
        <w:rPr>
          <w:rFonts w:ascii="Google Sans" w:cs="Google Sans" w:eastAsia="Google Sans" w:hAnsi="Google Sans"/>
          <w:color w:val="1f1f1f"/>
        </w:rPr>
        <w:drawing>
          <wp:inline distB="19050" distT="19050" distL="19050" distR="19050">
            <wp:extent cx="1698869" cy="248149"/>
            <wp:effectExtent b="0" l="0" r="0" t="0"/>
            <wp:docPr id="7"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1698869" cy="2481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1Y-GPA and Gateway Course Success beyond Model A alone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Discrepancy Identification (</w:t>
      </w:r>
      <w:r w:rsidDel="00000000" w:rsidR="00000000" w:rsidRPr="00000000">
        <w:rPr>
          <w:rFonts w:ascii="Google Sans" w:cs="Google Sans" w:eastAsia="Google Sans" w:hAnsi="Google Sans"/>
          <w:b w:val="1"/>
          <w:bCs w:val="1"/>
          <w:color w:val="1f1f1f"/>
        </w:rPr>
        <w:drawing>
          <wp:inline distB="19050" distT="19050" distL="19050" distR="19050">
            <wp:extent cx="241102" cy="250746"/>
            <wp:effectExtent b="0" l="0" r="0" t="0"/>
            <wp:docPr id="8"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241102" cy="25074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Model D will identify a subgroup of candidates ("High Dynamic Potential / Low Static GPA") whose actual first-year GPA and persistence match or exceed candidates in the "High Static GPA / High Test Score" group, proving that static records misclassify under-resourced talent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Subgroup Adverse Impact Reduction (</w:t>
      </w:r>
      <w:r w:rsidDel="00000000" w:rsidR="00000000" w:rsidRPr="00000000">
        <w:rPr>
          <w:rFonts w:ascii="Google Sans" w:cs="Google Sans" w:eastAsia="Google Sans" w:hAnsi="Google Sans"/>
          <w:b w:val="1"/>
          <w:bCs w:val="1"/>
          <w:color w:val="1f1f1f"/>
        </w:rPr>
        <w:drawing>
          <wp:inline distB="19050" distT="19050" distL="19050" distR="19050">
            <wp:extent cx="241102" cy="250746"/>
            <wp:effectExtent b="0" l="0" r="0" t="0"/>
            <wp:docPr id="9" name="image47.png"/>
            <a:graphic>
              <a:graphicData uri="http://schemas.openxmlformats.org/drawingml/2006/picture">
                <pic:pic>
                  <pic:nvPicPr>
                    <pic:cNvPr id="0" name="image47.png"/>
                    <pic:cNvPicPr preferRelativeResize="0"/>
                  </pic:nvPicPr>
                  <pic:blipFill>
                    <a:blip r:embed="rId50"/>
                    <a:srcRect b="0" l="0" r="0" t="0"/>
                    <a:stretch>
                      <a:fillRect/>
                    </a:stretch>
                  </pic:blipFill>
                  <pic:spPr>
                    <a:xfrm>
                      <a:off x="0" y="0"/>
                      <a:ext cx="241102" cy="25074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Model D will demonstrate significantly smaller mean group score differences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10"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across racial, ethnic, and socio-economic subgroups compared to Model A (</w:t>
      </w:r>
      <w:r w:rsidDel="00000000" w:rsidR="00000000" w:rsidRPr="00000000">
        <w:rPr>
          <w:rFonts w:ascii="Google Sans" w:cs="Google Sans" w:eastAsia="Google Sans" w:hAnsi="Google Sans"/>
          <w:color w:val="1f1f1f"/>
        </w:rPr>
        <w:drawing>
          <wp:inline distB="19050" distT="19050" distL="19050" distR="19050">
            <wp:extent cx="711547" cy="246670"/>
            <wp:effectExtent b="0" l="0" r="0" t="0"/>
            <wp:docPr id="36" name="image42.png"/>
            <a:graphic>
              <a:graphicData uri="http://schemas.openxmlformats.org/drawingml/2006/picture">
                <pic:pic>
                  <pic:nvPicPr>
                    <pic:cNvPr id="0" name="image42.png"/>
                    <pic:cNvPicPr preferRelativeResize="0"/>
                  </pic:nvPicPr>
                  <pic:blipFill>
                    <a:blip r:embed="rId52"/>
                    <a:srcRect b="0" l="0" r="0" t="0"/>
                    <a:stretch>
                      <a:fillRect/>
                    </a:stretch>
                  </pic:blipFill>
                  <pic:spPr>
                    <a:xfrm>
                      <a:off x="0" y="0"/>
                      <a:ext cx="711547" cy="2466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Actionable Guidance and Concluding Assessment</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response to the primary research question—which dynamic assessments and work-sample methods are sufficiently credible to pilot today, and which remain too experimental for student opportunity recommendations—the empirical evidence supports the following conclusions:</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Credible and Ready to Pilot Today</w:t>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Proctored Domain-Specific Micro-Courses:</w:t>
      </w:r>
      <w:r w:rsidDel="00000000" w:rsidR="00000000" w:rsidRPr="00000000">
        <w:rPr>
          <w:rFonts w:ascii="Google Sans" w:cs="Google Sans" w:eastAsia="Google Sans" w:hAnsi="Google Sans"/>
          <w:color w:val="1f1f1f"/>
          <w:rtl w:val="0"/>
        </w:rPr>
        <w:t xml:space="preserve"> Open-access digital micro-courses directly evaluate a candidate's capacity to master institutional material, serving as a powerful, non-biased alternative pathway for higher education admissions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IRT-Scaled Graduated-Prompt Adaptive Assessments:</w:t>
      </w:r>
      <w:r w:rsidDel="00000000" w:rsidR="00000000" w:rsidRPr="00000000">
        <w:rPr>
          <w:rFonts w:ascii="Google Sans" w:cs="Google Sans" w:eastAsia="Google Sans" w:hAnsi="Google Sans"/>
          <w:color w:val="1f1f1f"/>
          <w:rtl w:val="0"/>
        </w:rPr>
        <w:t xml:space="preserve"> By estimating latent growth parameters (</w:t>
      </w:r>
      <w:r w:rsidDel="00000000" w:rsidR="00000000" w:rsidRPr="00000000">
        <w:rPr>
          <w:rFonts w:ascii="Google Sans" w:cs="Google Sans" w:eastAsia="Google Sans" w:hAnsi="Google Sans"/>
          <w:color w:val="1f1f1f"/>
        </w:rPr>
        <w:drawing>
          <wp:inline distB="19050" distT="19050" distL="19050" distR="19050">
            <wp:extent cx="94357" cy="245328"/>
            <wp:effectExtent b="0" l="0" r="0" t="0"/>
            <wp:docPr id="39"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94357" cy="2453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Item Response Theory, these assessments eliminate historical gain-score unreliability and accurately measure instructional responsiveness without penalizing candidates for lack of prior academic exposure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Proctored Quantitative Work Samples and Practical Simulations:</w:t>
      </w:r>
      <w:r w:rsidDel="00000000" w:rsidR="00000000" w:rsidRPr="00000000">
        <w:rPr>
          <w:rFonts w:ascii="Google Sans" w:cs="Google Sans" w:eastAsia="Google Sans" w:hAnsi="Google Sans"/>
          <w:color w:val="1f1f1f"/>
          <w:rtl w:val="0"/>
        </w:rPr>
        <w:t xml:space="preserve"> Standardized simulations provide high predictive validity for real-world execution while drastically reducing the adverse socio-economic impacts inherent in traditional standardized tests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 Experimental or High-Risk for Immediate Opportunity Recommendations</w:t>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Unproctored Writing Samples and Static Portfolios:</w:t>
      </w:r>
      <w:r w:rsidDel="00000000" w:rsidR="00000000" w:rsidRPr="00000000">
        <w:rPr>
          <w:rFonts w:ascii="Google Sans" w:cs="Google Sans" w:eastAsia="Google Sans" w:hAnsi="Google Sans"/>
          <w:color w:val="1f1f1f"/>
          <w:rtl w:val="0"/>
        </w:rPr>
        <w:t xml:space="preserve"> Generative AI tools have rendered unproctored written artifacts psychometrically invalid for evaluating independent human capability, introducing severe gaming risks and penalizing candidates who refrain from unauthorized AI use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Classical Test Theory Raw Difference Scores:</w:t>
      </w:r>
      <w:r w:rsidDel="00000000" w:rsidR="00000000" w:rsidRPr="00000000">
        <w:rPr>
          <w:rFonts w:ascii="Google Sans" w:cs="Google Sans" w:eastAsia="Google Sans" w:hAnsi="Google Sans"/>
          <w:color w:val="1f1f1f"/>
          <w:rtl w:val="0"/>
        </w:rPr>
        <w:t xml:space="preserve"> Unscaled raw gain scores (</w:t>
      </w:r>
      <w:r w:rsidDel="00000000" w:rsidR="00000000" w:rsidRPr="00000000">
        <w:rPr>
          <w:rFonts w:ascii="Google Sans" w:cs="Google Sans" w:eastAsia="Google Sans" w:hAnsi="Google Sans"/>
          <w:color w:val="1f1f1f"/>
        </w:rPr>
        <w:drawing>
          <wp:inline distB="19050" distT="19050" distL="19050" distR="19050">
            <wp:extent cx="921692" cy="237550"/>
            <wp:effectExtent b="0" l="0" r="0" t="0"/>
            <wp:docPr id="40" name="image36.png"/>
            <a:graphic>
              <a:graphicData uri="http://schemas.openxmlformats.org/drawingml/2006/picture">
                <pic:pic>
                  <pic:nvPicPr>
                    <pic:cNvPr id="0" name="image36.png"/>
                    <pic:cNvPicPr preferRelativeResize="0"/>
                  </pic:nvPicPr>
                  <pic:blipFill>
                    <a:blip r:embed="rId53"/>
                    <a:srcRect b="0" l="0" r="0" t="0"/>
                    <a:stretch>
                      <a:fillRect/>
                    </a:stretch>
                  </pic:blipFill>
                  <pic:spPr>
                    <a:xfrm>
                      <a:off x="0" y="0"/>
                      <a:ext cx="921692" cy="237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suffer from fatal measurement error, regression to the mean, and ceiling distortions that misclassify candidate growth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Domain-General Abstract Learning Velocity Measures:</w:t>
      </w:r>
      <w:r w:rsidDel="00000000" w:rsidR="00000000" w:rsidRPr="00000000">
        <w:rPr>
          <w:rFonts w:ascii="Google Sans" w:cs="Google Sans" w:eastAsia="Google Sans" w:hAnsi="Google Sans"/>
          <w:color w:val="1f1f1f"/>
          <w:rtl w:val="0"/>
        </w:rPr>
        <w:t xml:space="preserve"> Learning rate derived from abstract non-verbal puzzles fails to generalize to specialized academic or technical disciplines, as learning velocity is primarily driven by domain-specific knowledge component acquisition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pivoting away from unproctored static artifacts and adopting proctored, domain-specific dynamic micro-courses and interactive simulation batteries, institutions can establish an equitable, highly predictive talent identification architecture. This transition bridges the gap between past privilege and future capability, ensuring that high-potential individuals are accurately recognized and given opportunities regardless of their prior academic backgrounds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Rainbow Project: Enhancing the SAT through assessments of analytical, practical, and creative skills, </w:t>
      </w:r>
      <w:hyperlink r:id="rId54">
        <w:r w:rsidDel="00000000" w:rsidR="00000000" w:rsidRPr="00000000">
          <w:rPr>
            <w:rFonts w:ascii="Google Sans" w:cs="Google Sans" w:eastAsia="Google Sans" w:hAnsi="Google Sans"/>
            <w:color w:val="0000ee"/>
            <w:sz w:val="24"/>
            <w:szCs w:val="24"/>
            <w:u w:val="single"/>
            <w:rtl w:val="0"/>
          </w:rPr>
          <w:t xml:space="preserve">https://sstemler.faculty.wesleyan.edu/files/2016/09/2006_Sternberg_et_al_Rainbow.pdf</w:t>
        </w:r>
      </w:hyperlink>
      <w:r w:rsidDel="00000000" w:rsidR="00000000" w:rsidRPr="00000000">
        <w:rPr>
          <w:rtl w:val="0"/>
        </w:rPr>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Contextualizing the SAT: Experimental Evidence on College Admission Recommendations for Low-SES Applicants - ERIC, </w:t>
      </w:r>
      <w:hyperlink r:id="rId55">
        <w:r w:rsidDel="00000000" w:rsidR="00000000" w:rsidRPr="00000000">
          <w:rPr>
            <w:rFonts w:ascii="Google Sans" w:cs="Google Sans" w:eastAsia="Google Sans" w:hAnsi="Google Sans"/>
            <w:color w:val="0000ee"/>
            <w:sz w:val="24"/>
            <w:szCs w:val="24"/>
            <w:u w:val="single"/>
            <w:rtl w:val="0"/>
          </w:rPr>
          <w:t xml:space="preserve">https://files.eric.ed.gov/fulltext/EJ1328825.pdf</w:t>
        </w:r>
      </w:hyperlink>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Application of Dynamic Assessment for Performance Prediction in Education: A Scoping Review, </w:t>
      </w:r>
      <w:hyperlink r:id="rId56">
        <w:r w:rsidDel="00000000" w:rsidR="00000000" w:rsidRPr="00000000">
          <w:rPr>
            <w:rFonts w:ascii="Google Sans" w:cs="Google Sans" w:eastAsia="Google Sans" w:hAnsi="Google Sans"/>
            <w:color w:val="0000ee"/>
            <w:sz w:val="24"/>
            <w:szCs w:val="24"/>
            <w:u w:val="single"/>
            <w:rtl w:val="0"/>
          </w:rPr>
          <w:t xml:space="preserve">https://gmwpublic.studenttheses.ub.rug.nl/5325/1/Master-Thesis-Dynamic-Assessment-in-Education-Performance-Prediction-Cecile-Wiersema-S4392299-2.pdf</w:t>
        </w:r>
      </w:hyperlink>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Predictive value of dynamic assessment on future narrative skills in French-speaking children with developmental language disorder: A pilot study - Taylor &amp; Francis, </w:t>
      </w:r>
      <w:hyperlink r:id="rId57">
        <w:r w:rsidDel="00000000" w:rsidR="00000000" w:rsidRPr="00000000">
          <w:rPr>
            <w:rFonts w:ascii="Google Sans" w:cs="Google Sans" w:eastAsia="Google Sans" w:hAnsi="Google Sans"/>
            <w:color w:val="0000ee"/>
            <w:sz w:val="24"/>
            <w:szCs w:val="24"/>
            <w:u w:val="single"/>
            <w:rtl w:val="0"/>
          </w:rPr>
          <w:t xml:space="preserve">https://www.tandfonline.com/doi/full/10.1080/02699206.2026.2668117</w:t>
        </w:r>
      </w:hyperlink>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Assessments of Word Reading Skills in Diverse School-Age Children: A Meta-Analysis - ASHA Journals, </w:t>
      </w:r>
      <w:hyperlink r:id="rId58">
        <w:r w:rsidDel="00000000" w:rsidR="00000000" w:rsidRPr="00000000">
          <w:rPr>
            <w:rFonts w:ascii="Google Sans" w:cs="Google Sans" w:eastAsia="Google Sans" w:hAnsi="Google Sans"/>
            <w:color w:val="0000ee"/>
            <w:sz w:val="24"/>
            <w:szCs w:val="24"/>
            <w:u w:val="single"/>
            <w:rtl w:val="0"/>
          </w:rPr>
          <w:t xml:space="preserve">https://pubs.asha.org/doi/10.1044/2024_PERSP-23-00262</w:t>
        </w:r>
      </w:hyperlink>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Assessment of Reading Difficulties: Predictive and Incremental Validity on Attitude toward Reading and the Use of Dialogue/Participation Strategies in Classroom Activities - Frontiers, </w:t>
      </w:r>
      <w:hyperlink r:id="rId59">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https://www.frontiersin.org/journals/psychology/articles/10.3389/fpsyg.2017.00173/full</w:t>
        </w:r>
      </w:hyperlink>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Examining the Predictive Validity of a Dynamic Assessment of Decoding to Forecast Response Tier 2 to Intervention - PMC, </w:t>
      </w:r>
      <w:hyperlink r:id="rId60">
        <w:r w:rsidDel="00000000" w:rsidR="00000000" w:rsidRPr="00000000">
          <w:rPr>
            <w:rFonts w:ascii="Google Sans" w:cs="Google Sans" w:eastAsia="Google Sans" w:hAnsi="Google Sans"/>
            <w:color w:val="0000ee"/>
            <w:sz w:val="24"/>
            <w:szCs w:val="24"/>
            <w:u w:val="single"/>
            <w:rtl w:val="0"/>
          </w:rPr>
          <w:t xml:space="preserve">https://pmc.ncbi.nlm.nih.gov/articles/PMC3867599/</w:t>
        </w:r>
      </w:hyperlink>
      <w:r w:rsidDel="00000000" w:rsidR="00000000" w:rsidRPr="00000000">
        <w:rPr>
          <w:rtl w:val="0"/>
        </w:rPr>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ASSESSMENT AND READING COMPETENCE - Uni Bamberg, </w:t>
      </w:r>
      <w:hyperlink r:id="rId61">
        <w:r w:rsidDel="00000000" w:rsidR="00000000" w:rsidRPr="00000000">
          <w:rPr>
            <w:rFonts w:ascii="Google Sans" w:cs="Google Sans" w:eastAsia="Google Sans" w:hAnsi="Google Sans"/>
            <w:color w:val="0000ee"/>
            <w:sz w:val="24"/>
            <w:szCs w:val="24"/>
            <w:u w:val="single"/>
            <w:rtl w:val="0"/>
          </w:rPr>
          <w:t xml:space="preserve">https://www.uni-bamberg.de/fileadmin/bildungsforschung/Publikationen/Artelt/Doerfler_Golke_Artelt_Dynamic_Assessment.pdf</w:t>
        </w:r>
      </w:hyperlink>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DELIBERATE INNOVATION, LIFETIME EDUCATION - Office of the Provost, </w:t>
      </w:r>
      <w:hyperlink r:id="rId62">
        <w:r w:rsidDel="00000000" w:rsidR="00000000" w:rsidRPr="00000000">
          <w:rPr>
            <w:rFonts w:ascii="Google Sans" w:cs="Google Sans" w:eastAsia="Google Sans" w:hAnsi="Google Sans"/>
            <w:color w:val="0000ee"/>
            <w:sz w:val="24"/>
            <w:szCs w:val="24"/>
            <w:u w:val="single"/>
            <w:rtl w:val="0"/>
          </w:rPr>
          <w:t xml:space="preserve">https://provost.gatech.edu/sites/default/files/documents/deliberate_innovation_lifetime_education.pdf</w:t>
        </w:r>
      </w:hyperlink>
      <w:r w:rsidDel="00000000" w:rsidR="00000000" w:rsidRPr="00000000">
        <w:rPr>
          <w:rtl w:val="0"/>
        </w:rPr>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Predictive Validity of Dynamic Assessment: A Review - ResearchGate, </w:t>
      </w:r>
      <w:hyperlink r:id="rId63">
        <w:r w:rsidDel="00000000" w:rsidR="00000000" w:rsidRPr="00000000">
          <w:rPr>
            <w:rFonts w:ascii="Google Sans" w:cs="Google Sans" w:eastAsia="Google Sans" w:hAnsi="Google Sans"/>
            <w:color w:val="0000ee"/>
            <w:sz w:val="24"/>
            <w:szCs w:val="24"/>
            <w:u w:val="single"/>
            <w:rtl w:val="0"/>
          </w:rPr>
          <w:t xml:space="preserve">https://www.researchgate.net/publication/249834043_The_Predictive_Validity_of_Dynamic_Assessment_A_Review</w:t>
        </w:r>
      </w:hyperlink>
      <w:r w:rsidDel="00000000" w:rsidR="00000000" w:rsidRPr="00000000">
        <w:rPr>
          <w:rtl w:val="0"/>
        </w:rPr>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individual differences, word form learning, associative learning, short-term memory, processing speed - MPG.PuRe, </w:t>
      </w:r>
      <w:hyperlink r:id="rId64">
        <w:r w:rsidDel="00000000" w:rsidR="00000000" w:rsidRPr="00000000">
          <w:rPr>
            <w:rFonts w:ascii="Google Sans" w:cs="Google Sans" w:eastAsia="Google Sans" w:hAnsi="Google Sans"/>
            <w:color w:val="0000ee"/>
            <w:sz w:val="24"/>
            <w:szCs w:val="24"/>
            <w:u w:val="single"/>
            <w:rtl w:val="0"/>
          </w:rPr>
          <w:t xml:space="preserve">https://pure.mpg.de/rest/items/item_3710077_1/component/file_3710078/content</w:t>
        </w:r>
      </w:hyperlink>
      <w:r w:rsidDel="00000000" w:rsidR="00000000" w:rsidRPr="00000000">
        <w:rPr>
          <w:rtl w:val="0"/>
        </w:rPr>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Explanatory item response modeling of children's change on a dynamic test of analogical reasoning | Request PDF - ResearchGate, </w:t>
      </w:r>
      <w:hyperlink r:id="rId65">
        <w:r w:rsidDel="00000000" w:rsidR="00000000" w:rsidRPr="00000000">
          <w:rPr>
            <w:rFonts w:ascii="Google Sans" w:cs="Google Sans" w:eastAsia="Google Sans" w:hAnsi="Google Sans"/>
            <w:color w:val="0000ee"/>
            <w:sz w:val="24"/>
            <w:szCs w:val="24"/>
            <w:u w:val="single"/>
            <w:rtl w:val="0"/>
          </w:rPr>
          <w:t xml:space="preserve">https://www.researchgate.net/publication/236211779_Explanatory_item_response_modeling_of_children's_change_on_a_dynamic_test_of_analogical_reasoning</w:t>
        </w:r>
      </w:hyperlink>
      <w:r w:rsidDel="00000000" w:rsidR="00000000" w:rsidRPr="00000000">
        <w:rPr>
          <w:rtl w:val="0"/>
        </w:rPr>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Developmental Change: Theories, Models and Measurement, </w:t>
      </w:r>
      <w:hyperlink r:id="rId66">
        <w:r w:rsidDel="00000000" w:rsidR="00000000" w:rsidRPr="00000000">
          <w:rPr>
            <w:rFonts w:ascii="Google Sans" w:cs="Google Sans" w:eastAsia="Google Sans" w:hAnsi="Google Sans"/>
            <w:color w:val="0000ee"/>
            <w:sz w:val="24"/>
            <w:szCs w:val="24"/>
            <w:u w:val="single"/>
            <w:rtl w:val="0"/>
          </w:rPr>
          <w:t xml:space="preserve">https://paulokeefe.com/wp-content/uploads/2024/09/Grigorenko-OKeefe-2004b.pdf</w:t>
        </w:r>
      </w:hyperlink>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use of a Direct Instruction reading program to tutor an adult with a moderate intellectual disability, </w:t>
      </w:r>
      <w:hyperlink r:id="rId67">
        <w:r w:rsidDel="00000000" w:rsidR="00000000" w:rsidRPr="00000000">
          <w:rPr>
            <w:rFonts w:ascii="Google Sans" w:cs="Google Sans" w:eastAsia="Google Sans" w:hAnsi="Google Sans"/>
            <w:color w:val="0000ee"/>
            <w:sz w:val="24"/>
            <w:szCs w:val="24"/>
            <w:u w:val="single"/>
            <w:rtl w:val="0"/>
          </w:rPr>
          <w:t xml:space="preserve">https://www.nifdi.org/what-is-di/88-news/kerry</w:t>
        </w:r>
      </w:hyperlink>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the Learning Potential Computerised Adaptive Test (Lpcat) - ResearchGate, </w:t>
      </w:r>
      <w:hyperlink r:id="rId68">
        <w:r w:rsidDel="00000000" w:rsidR="00000000" w:rsidRPr="00000000">
          <w:rPr>
            <w:rFonts w:ascii="Google Sans" w:cs="Google Sans" w:eastAsia="Google Sans" w:hAnsi="Google Sans"/>
            <w:color w:val="0000ee"/>
            <w:sz w:val="24"/>
            <w:szCs w:val="24"/>
            <w:u w:val="single"/>
            <w:rtl w:val="0"/>
          </w:rPr>
          <w:t xml:space="preserve">https://www.researchgate.net/publication/258185033_Development_of_the_Learning_Potential_Computerised_Adaptive_Test_LPCAT</w:t>
        </w:r>
      </w:hyperlink>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Concurrent and predictive validity of dynamic assessments of early literacy skills: A systematic review and meta-analysis | medRxiv, </w:t>
      </w:r>
      <w:hyperlink r:id="rId69">
        <w:r w:rsidDel="00000000" w:rsidR="00000000" w:rsidRPr="00000000">
          <w:rPr>
            <w:rFonts w:ascii="Google Sans" w:cs="Google Sans" w:eastAsia="Google Sans" w:hAnsi="Google Sans"/>
            <w:color w:val="0000ee"/>
            <w:sz w:val="24"/>
            <w:szCs w:val="24"/>
            <w:u w:val="single"/>
            <w:rtl w:val="0"/>
          </w:rPr>
          <w:t xml:space="preserve">https://www.medrxiv.org/content/10.1101/2022.09.19.22279942v1.full-text</w:t>
        </w:r>
      </w:hyperlink>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 assessments for ability testing and for the broad identification of gifted students, </w:t>
      </w:r>
      <w:hyperlink r:id="rId70">
        <w:r w:rsidDel="00000000" w:rsidR="00000000" w:rsidRPr="00000000">
          <w:rPr>
            <w:rFonts w:ascii="Google Sans" w:cs="Google Sans" w:eastAsia="Google Sans" w:hAnsi="Google Sans"/>
            <w:color w:val="0000ee"/>
            <w:sz w:val="24"/>
            <w:szCs w:val="24"/>
            <w:u w:val="single"/>
            <w:rtl w:val="0"/>
          </w:rPr>
          <w:t xml:space="preserve">https://www.kedi.re.kr/eng/kedi/cmmn/file/fileDown.do?menuNo=200067&amp;atchFileId=FILE_000000000003352&amp;fileSn=1&amp;bbsId=</w:t>
        </w:r>
      </w:hyperlink>
      <w:r w:rsidDel="00000000" w:rsidR="00000000" w:rsidRPr="00000000">
        <w:rPr>
          <w:rtl w:val="0"/>
        </w:rPr>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Rainbow Project: Enhancing the SAT Through Assessments of Analytical, Practical, and Creative Skills - ResearchGate, </w:t>
      </w:r>
      <w:hyperlink r:id="rId71">
        <w:r w:rsidDel="00000000" w:rsidR="00000000" w:rsidRPr="00000000">
          <w:rPr>
            <w:rFonts w:ascii="Google Sans" w:cs="Google Sans" w:eastAsia="Google Sans" w:hAnsi="Google Sans"/>
            <w:color w:val="0000ee"/>
            <w:sz w:val="24"/>
            <w:szCs w:val="24"/>
            <w:u w:val="single"/>
            <w:rtl w:val="0"/>
          </w:rPr>
          <w:t xml:space="preserve">https://www.researchgate.net/publication/222432777_The_Rainbow_Project_Enhancing_the_SAT_Through_Assessments_of_Analytical_Practical_and_Creative_Skills</w:t>
        </w:r>
      </w:hyperlink>
      <w:r w:rsidDel="00000000" w:rsidR="00000000" w:rsidRPr="00000000">
        <w:rPr>
          <w:rtl w:val="0"/>
        </w:rPr>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Successful Intelligence.pdf - Department of Computer Science, </w:t>
      </w:r>
      <w:hyperlink r:id="rId72">
        <w:r w:rsidDel="00000000" w:rsidR="00000000" w:rsidRPr="00000000">
          <w:rPr>
            <w:rFonts w:ascii="Google Sans" w:cs="Google Sans" w:eastAsia="Google Sans" w:hAnsi="Google Sans"/>
            <w:color w:val="0000ee"/>
            <w:sz w:val="24"/>
            <w:szCs w:val="24"/>
            <w:u w:val="single"/>
            <w:rtl w:val="0"/>
          </w:rPr>
          <w:t xml:space="preserve">https://www.cs.tufts.edu/~nr/cs257/archive/robert-sternberg/Successful%20Intelligence.pdf</w:t>
        </w:r>
      </w:hyperlink>
      <w:r w:rsidDel="00000000" w:rsidR="00000000" w:rsidRPr="00000000">
        <w:rPr>
          <w:rtl w:val="0"/>
        </w:rPr>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 Job Performance - Codility, </w:t>
      </w:r>
      <w:hyperlink r:id="rId73">
        <w:r w:rsidDel="00000000" w:rsidR="00000000" w:rsidRPr="00000000">
          <w:rPr>
            <w:rFonts w:ascii="Google Sans" w:cs="Google Sans" w:eastAsia="Google Sans" w:hAnsi="Google Sans"/>
            <w:color w:val="0000ee"/>
            <w:sz w:val="24"/>
            <w:szCs w:val="24"/>
            <w:u w:val="single"/>
            <w:rtl w:val="0"/>
          </w:rPr>
          <w:t xml:space="preserve">https://www.codility.com/resources__trashed/predict-job-performance/</w:t>
        </w:r>
      </w:hyperlink>
      <w:r w:rsidDel="00000000" w:rsidR="00000000" w:rsidRPr="00000000">
        <w:rPr>
          <w:rtl w:val="0"/>
        </w:rPr>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 how are you doing? Do you recommend the MITx MicroMasters in Data Science? How was your experience? How recruters see this course? - Quora, </w:t>
      </w:r>
      <w:hyperlink r:id="rId74">
        <w:r w:rsidDel="00000000" w:rsidR="00000000" w:rsidRPr="00000000">
          <w:rPr>
            <w:rFonts w:ascii="Google Sans" w:cs="Google Sans" w:eastAsia="Google Sans" w:hAnsi="Google Sans"/>
            <w:color w:val="0000ee"/>
            <w:sz w:val="24"/>
            <w:szCs w:val="24"/>
            <w:u w:val="single"/>
            <w:rtl w:val="0"/>
          </w:rPr>
          <w:t xml:space="preserve">https://www.quora.com/Hi-how-are-you-doing-Do-you-recommend-the-MITx-MicroMasters-in-Data-Science-How-was-your-experience-How-recruters-see-this-course</w:t>
        </w:r>
      </w:hyperlink>
      <w:r w:rsidDel="00000000" w:rsidR="00000000" w:rsidRPr="00000000">
        <w:rPr>
          <w:rtl w:val="0"/>
        </w:rPr>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Four Models of Higher Education in 2030 - ResearchGate,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https://www.researchgate.net/publication/341573111_Four_Models_of_Higher_Education_in_2030</w:t>
        </w:r>
      </w:hyperlink>
      <w:r w:rsidDel="00000000" w:rsidR="00000000" w:rsidRPr="00000000">
        <w:rPr>
          <w:rtl w:val="0"/>
        </w:rPr>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MassBridge: - MIT Open Learning, </w:t>
      </w:r>
      <w:hyperlink r:id="rId76">
        <w:r w:rsidDel="00000000" w:rsidR="00000000" w:rsidRPr="00000000">
          <w:rPr>
            <w:rFonts w:ascii="Google Sans" w:cs="Google Sans" w:eastAsia="Google Sans" w:hAnsi="Google Sans"/>
            <w:color w:val="0000ee"/>
            <w:sz w:val="24"/>
            <w:szCs w:val="24"/>
            <w:u w:val="single"/>
            <w:rtl w:val="0"/>
          </w:rPr>
          <w:t xml:space="preserve">https://openlearning.mit.edu/sites/default/files/inline-files/Benchmarking%20Phase%201%20Report%20%28Final%29.pdf</w:t>
        </w:r>
      </w:hyperlink>
      <w:r w:rsidDel="00000000" w:rsidR="00000000" w:rsidRPr="00000000">
        <w:rPr>
          <w:rtl w:val="0"/>
        </w:rPr>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Cognitive Models using Neural Networks - Christopher J. MacLellan, </w:t>
      </w:r>
      <w:hyperlink r:id="rId77">
        <w:r w:rsidDel="00000000" w:rsidR="00000000" w:rsidRPr="00000000">
          <w:rPr>
            <w:rFonts w:ascii="Google Sans" w:cs="Google Sans" w:eastAsia="Google Sans" w:hAnsi="Google Sans"/>
            <w:color w:val="0000ee"/>
            <w:sz w:val="24"/>
            <w:szCs w:val="24"/>
            <w:u w:val="single"/>
            <w:rtl w:val="0"/>
          </w:rPr>
          <w:t xml:space="preserve">https://chrismaclellan.com/media/publications/chaplot-2018.pdf</w:t>
        </w:r>
      </w:hyperlink>
      <w:r w:rsidDel="00000000" w:rsidR="00000000" w:rsidRPr="00000000">
        <w:rPr>
          <w:rtl w:val="0"/>
        </w:rPr>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delayed posttest results: Topics by Science.gov, </w:t>
      </w:r>
      <w:hyperlink r:id="rId78">
        <w:r w:rsidDel="00000000" w:rsidR="00000000" w:rsidRPr="00000000">
          <w:rPr>
            <w:rFonts w:ascii="Google Sans" w:cs="Google Sans" w:eastAsia="Google Sans" w:hAnsi="Google Sans"/>
            <w:color w:val="0000ee"/>
            <w:sz w:val="24"/>
            <w:szCs w:val="24"/>
            <w:u w:val="single"/>
            <w:rtl w:val="0"/>
          </w:rPr>
          <w:t xml:space="preserve">https://www.science.gov/topicpages/d/delayed+posttest+results</w:t>
        </w:r>
      </w:hyperlink>
      <w:r w:rsidDel="00000000" w:rsidR="00000000" w:rsidRPr="00000000">
        <w:rPr>
          <w:rtl w:val="0"/>
        </w:rPr>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Scores: Diagnostic LLM Evaluation via Fine-Grained Abilities - arXiv, </w:t>
      </w:r>
      <w:hyperlink r:id="rId79">
        <w:r w:rsidDel="00000000" w:rsidR="00000000" w:rsidRPr="00000000">
          <w:rPr>
            <w:rFonts w:ascii="Google Sans" w:cs="Google Sans" w:eastAsia="Google Sans" w:hAnsi="Google Sans"/>
            <w:color w:val="0000ee"/>
            <w:sz w:val="24"/>
            <w:szCs w:val="24"/>
            <w:u w:val="single"/>
            <w:rtl w:val="0"/>
          </w:rPr>
          <w:t xml:space="preserve">https://arxiv.org/html/2604.12191v1</w:t>
        </w:r>
      </w:hyperlink>
      <w:r w:rsidDel="00000000" w:rsidR="00000000" w:rsidRPr="00000000">
        <w:rPr>
          <w:rtl w:val="0"/>
        </w:rPr>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Conference Proceedings - EdUHK, </w:t>
      </w:r>
      <w:hyperlink r:id="rId80">
        <w:r w:rsidDel="00000000" w:rsidR="00000000" w:rsidRPr="00000000">
          <w:rPr>
            <w:rFonts w:ascii="Google Sans" w:cs="Google Sans" w:eastAsia="Google Sans" w:hAnsi="Google Sans"/>
            <w:color w:val="0000ee"/>
            <w:sz w:val="24"/>
            <w:szCs w:val="24"/>
            <w:u w:val="single"/>
            <w:rtl w:val="0"/>
          </w:rPr>
          <w:t xml:space="preserve">https://www.eduhk.hk/iclt2026/doc/ICLT%202026%20Conference%20Proceedings_20260417.pdf</w:t>
        </w:r>
      </w:hyperlink>
      <w:r w:rsidDel="00000000" w:rsidR="00000000" w:rsidRPr="00000000">
        <w:rPr>
          <w:rtl w:val="0"/>
        </w:rPr>
      </w:r>
    </w:p>
    <w:p w:rsidR="00000000" w:rsidDel="00000000" w:rsidP="00000000" w:rsidRDefault="00000000" w:rsidRPr="00000000" w14:paraId="0000010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SRHE welcome &amp; opening remarks Plenary: Creating Effective Connections between Higher Education Research and Educational Pol, </w:t>
      </w:r>
      <w:hyperlink r:id="rId81">
        <w:r w:rsidDel="00000000" w:rsidR="00000000" w:rsidRPr="00000000">
          <w:rPr>
            <w:rFonts w:ascii="Google Sans" w:cs="Google Sans" w:eastAsia="Google Sans" w:hAnsi="Google Sans"/>
            <w:color w:val="0000ee"/>
            <w:sz w:val="24"/>
            <w:szCs w:val="24"/>
            <w:u w:val="single"/>
            <w:rtl w:val="0"/>
          </w:rPr>
          <w:t xml:space="preserve">https://srhe.ac.uk/wp-content/uploads/2023/12/AbstractsPapersSRHEConference23.pdf</w:t>
        </w:r>
      </w:hyperlink>
      <w:r w:rsidDel="00000000" w:rsidR="00000000" w:rsidRPr="00000000">
        <w:rPr>
          <w:rtl w:val="0"/>
        </w:rPr>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Delphi Study on Generative Artificial Intelligence and English Medium Instruction Assessment: Implications for Social Justice Iranian Journal of Language Teaching Research - ResearchGate, </w:t>
      </w:r>
      <w:hyperlink r:id="rId82">
        <w:r w:rsidDel="00000000" w:rsidR="00000000" w:rsidRPr="00000000">
          <w:rPr>
            <w:rFonts w:ascii="Google Sans" w:cs="Google Sans" w:eastAsia="Google Sans" w:hAnsi="Google Sans"/>
            <w:color w:val="0000ee"/>
            <w:sz w:val="24"/>
            <w:szCs w:val="24"/>
            <w:u w:val="single"/>
            <w:rtl w:val="0"/>
          </w:rPr>
          <w:t xml:space="preserve">https://www.researchgate.net/publication/376649688_A_Delphi_Study_on_Generative_Artificial_Intelligence_and_English_Medium_Instruction_Assessment_Implications_for_Social_Justice_Iranian_Journal_of_Language_Teaching_Research</w:t>
        </w:r>
      </w:hyperlink>
      <w:r w:rsidDel="00000000" w:rsidR="00000000" w:rsidRPr="00000000">
        <w:rPr>
          <w:rtl w:val="0"/>
        </w:rPr>
      </w:r>
    </w:p>
    <w:p w:rsidR="00000000" w:rsidDel="00000000" w:rsidP="00000000" w:rsidRDefault="00000000" w:rsidRPr="00000000" w14:paraId="0000010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25, Issue 2 April 2026 - TOJET - THE TURKISH ONLINE JOURNAL OF EDUCATIONAL TECHNOLOGY, </w:t>
      </w:r>
      <w:hyperlink r:id="rId83">
        <w:r w:rsidDel="00000000" w:rsidR="00000000" w:rsidRPr="00000000">
          <w:rPr>
            <w:rFonts w:ascii="Google Sans" w:cs="Google Sans" w:eastAsia="Google Sans" w:hAnsi="Google Sans"/>
            <w:color w:val="0000ee"/>
            <w:sz w:val="24"/>
            <w:szCs w:val="24"/>
            <w:u w:val="single"/>
            <w:rtl w:val="0"/>
          </w:rPr>
          <w:t xml:space="preserve">https://www.tojet.net/volumes/v25i2.pdf</w:t>
        </w:r>
      </w:hyperlink>
      <w:r w:rsidDel="00000000" w:rsidR="00000000" w:rsidRPr="00000000">
        <w:rPr>
          <w:rtl w:val="0"/>
        </w:rPr>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integration or skill compensation? Understanding GenAI use in online higher education - ResearchGate, </w:t>
      </w:r>
      <w:hyperlink r:id="rId84">
        <w:r w:rsidDel="00000000" w:rsidR="00000000" w:rsidRPr="00000000">
          <w:rPr>
            <w:rFonts w:ascii="Google Sans" w:cs="Google Sans" w:eastAsia="Google Sans" w:hAnsi="Google Sans"/>
            <w:color w:val="0000ee"/>
            <w:sz w:val="24"/>
            <w:szCs w:val="24"/>
            <w:u w:val="single"/>
            <w:rtl w:val="0"/>
          </w:rPr>
          <w:t xml:space="preserve">https://www.researchgate.net/publication/408249534_Strategic_integration_or_skill_compensation_Understanding_GenAI_use_in_online_higher_education</w:t>
        </w:r>
      </w:hyperlink>
      <w:r w:rsidDel="00000000" w:rsidR="00000000" w:rsidRPr="00000000">
        <w:rPr>
          <w:rtl w:val="0"/>
        </w:rPr>
      </w:r>
    </w:p>
    <w:p w:rsidR="00000000" w:rsidDel="00000000" w:rsidP="00000000" w:rsidRDefault="00000000" w:rsidRPr="00000000" w14:paraId="0000011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 generality vs. modality specificity: The paradox of statistical learning - PMC, </w:t>
      </w:r>
      <w:hyperlink r:id="rId85">
        <w:r w:rsidDel="00000000" w:rsidR="00000000" w:rsidRPr="00000000">
          <w:rPr>
            <w:rFonts w:ascii="Google Sans" w:cs="Google Sans" w:eastAsia="Google Sans" w:hAnsi="Google Sans"/>
            <w:color w:val="0000ee"/>
            <w:sz w:val="24"/>
            <w:szCs w:val="24"/>
            <w:u w:val="single"/>
            <w:rtl w:val="0"/>
          </w:rPr>
          <w:t xml:space="preserve">https://pmc.ncbi.nlm.nih.gov/articles/PMC4348214/</w:t>
        </w:r>
      </w:hyperlink>
      <w:r w:rsidDel="00000000" w:rsidR="00000000" w:rsidRPr="00000000">
        <w:rPr>
          <w:rtl w:val="0"/>
        </w:rPr>
      </w:r>
    </w:p>
    <w:p w:rsidR="00000000" w:rsidDel="00000000" w:rsidP="00000000" w:rsidRDefault="00000000" w:rsidRPr="00000000" w14:paraId="0000011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Domain-Specific and Domain-General Learning Factors are Expressed in Genetically Heterogeneous CD-1 mice - PMC, </w:t>
      </w:r>
      <w:hyperlink r:id="rId86">
        <w:r w:rsidDel="00000000" w:rsidR="00000000" w:rsidRPr="00000000">
          <w:rPr>
            <w:rFonts w:ascii="Google Sans" w:cs="Google Sans" w:eastAsia="Google Sans" w:hAnsi="Google Sans"/>
            <w:color w:val="0000ee"/>
            <w:sz w:val="24"/>
            <w:szCs w:val="24"/>
            <w:u w:val="single"/>
            <w:rtl w:val="0"/>
          </w:rPr>
          <w:t xml:space="preserve">https://pmc.ncbi.nlm.nih.gov/articles/PMC2614349/</w:t>
        </w:r>
      </w:hyperlink>
      <w:r w:rsidDel="00000000" w:rsidR="00000000" w:rsidRPr="00000000">
        <w:rPr>
          <w:rtl w:val="0"/>
        </w:rPr>
      </w:r>
    </w:p>
    <w:p w:rsidR="00000000" w:rsidDel="00000000" w:rsidP="00000000" w:rsidRDefault="00000000" w:rsidRPr="00000000" w14:paraId="000001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Domain-Specific and Domain-General Learning Factors are Expressed in Genetically Heterogeneous CD-1 mice - ResearchGate, </w:t>
      </w:r>
      <w:hyperlink r:id="rId87">
        <w:r w:rsidDel="00000000" w:rsidR="00000000" w:rsidRPr="00000000">
          <w:rPr>
            <w:rFonts w:ascii="Google Sans" w:cs="Google Sans" w:eastAsia="Google Sans" w:hAnsi="Google Sans"/>
            <w:color w:val="0000ee"/>
            <w:sz w:val="24"/>
            <w:szCs w:val="24"/>
            <w:u w:val="single"/>
            <w:rtl w:val="0"/>
          </w:rPr>
          <w:t xml:space="preserve">https://www.researchgate.net/publication/23764733_Domain-Specific_and_Domain-General_Learning_Factors_are_Expressed_in_Genetically_Heterogeneous_CD-1_mice</w:t>
        </w:r>
      </w:hyperlink>
      <w:r w:rsidDel="00000000" w:rsidR="00000000" w:rsidRPr="00000000">
        <w:rPr>
          <w:rtl w:val="0"/>
        </w:rPr>
      </w:r>
    </w:p>
    <w:p w:rsidR="00000000" w:rsidDel="00000000" w:rsidP="00000000" w:rsidRDefault="00000000" w:rsidRPr="00000000" w14:paraId="000001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of Predicting general academic performance and identifying the differential contribution of participating variables using artificial neural networks, </w:t>
      </w:r>
      <w:hyperlink r:id="rId88">
        <w:r w:rsidDel="00000000" w:rsidR="00000000" w:rsidRPr="00000000">
          <w:rPr>
            <w:rFonts w:ascii="Google Sans" w:cs="Google Sans" w:eastAsia="Google Sans" w:hAnsi="Google Sans"/>
            <w:color w:val="0000ee"/>
            <w:sz w:val="24"/>
            <w:szCs w:val="24"/>
            <w:u w:val="single"/>
            <w:rtl w:val="0"/>
          </w:rPr>
          <w:t xml:space="preserve">https://frontlinelearningresearch.org/index.php/journal/article/view/13/101</w:t>
        </w:r>
      </w:hyperlink>
      <w:r w:rsidDel="00000000" w:rsidR="00000000" w:rsidRPr="00000000">
        <w:rPr>
          <w:rtl w:val="0"/>
        </w:rPr>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Impaired adaptation of learning to contingency volatility in internalizing psychopathology, </w:t>
      </w:r>
      <w:hyperlink r:id="rId89">
        <w:r w:rsidDel="00000000" w:rsidR="00000000" w:rsidRPr="00000000">
          <w:rPr>
            <w:rFonts w:ascii="Google Sans" w:cs="Google Sans" w:eastAsia="Google Sans" w:hAnsi="Google Sans"/>
            <w:color w:val="0000ee"/>
            <w:sz w:val="24"/>
            <w:szCs w:val="24"/>
            <w:u w:val="single"/>
            <w:rtl w:val="0"/>
          </w:rPr>
          <w:t xml:space="preserve">https://elifesciences.org/articles/61387</w:t>
        </w:r>
      </w:hyperlink>
      <w:r w:rsidDel="00000000" w:rsidR="00000000" w:rsidRPr="00000000">
        <w:rPr>
          <w:rtl w:val="0"/>
        </w:rPr>
      </w:r>
    </w:p>
    <w:p w:rsidR="00000000" w:rsidDel="00000000" w:rsidP="00000000" w:rsidRDefault="00000000" w:rsidRPr="00000000" w14:paraId="000001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Progettazione di un percorso di formazione professionale basato su Open Badge - Unifg, </w:t>
      </w:r>
      <w:hyperlink r:id="rId90">
        <w:r w:rsidDel="00000000" w:rsidR="00000000" w:rsidRPr="00000000">
          <w:rPr>
            <w:rFonts w:ascii="Google Sans" w:cs="Google Sans" w:eastAsia="Google Sans" w:hAnsi="Google Sans"/>
            <w:color w:val="0000ee"/>
            <w:sz w:val="24"/>
            <w:szCs w:val="24"/>
            <w:u w:val="single"/>
            <w:rtl w:val="0"/>
          </w:rPr>
          <w:t xml:space="preserve">https://fair.unifg.it/retrieve/36daeeed-9c1b-4b67-a022-c17652e97781/Borrelli_Tesi_Dottorato_firma%20digitale.pdf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84" Type="http://schemas.openxmlformats.org/officeDocument/2006/relationships/hyperlink" Target="https://www.researchgate.net/publication/408249534_Strategic_integration_or_skill_compensation_Understanding_GenAI_use_in_online_higher_education" TargetMode="External"/><Relationship Id="rId83" Type="http://schemas.openxmlformats.org/officeDocument/2006/relationships/hyperlink" Target="https://www.tojet.net/volumes/v25i2.pdf" TargetMode="External"/><Relationship Id="rId42" Type="http://schemas.openxmlformats.org/officeDocument/2006/relationships/image" Target="media/image2.png"/><Relationship Id="rId86" Type="http://schemas.openxmlformats.org/officeDocument/2006/relationships/hyperlink" Target="https://pmc.ncbi.nlm.nih.gov/articles/PMC2614349/" TargetMode="External"/><Relationship Id="rId41" Type="http://schemas.openxmlformats.org/officeDocument/2006/relationships/image" Target="media/image6.png"/><Relationship Id="rId85" Type="http://schemas.openxmlformats.org/officeDocument/2006/relationships/hyperlink" Target="https://pmc.ncbi.nlm.nih.gov/articles/PMC4348214/" TargetMode="External"/><Relationship Id="rId44" Type="http://schemas.openxmlformats.org/officeDocument/2006/relationships/image" Target="media/image13.png"/><Relationship Id="rId88" Type="http://schemas.openxmlformats.org/officeDocument/2006/relationships/hyperlink" Target="https://frontlinelearningresearch.org/index.php/journal/article/view/13/101" TargetMode="External"/><Relationship Id="rId43" Type="http://schemas.openxmlformats.org/officeDocument/2006/relationships/image" Target="media/image1.png"/><Relationship Id="rId87" Type="http://schemas.openxmlformats.org/officeDocument/2006/relationships/hyperlink" Target="https://www.researchgate.net/publication/23764733_Domain-Specific_and_Domain-General_Learning_Factors_are_Expressed_in_Genetically_Heterogeneous_CD-1_mice" TargetMode="External"/><Relationship Id="rId46" Type="http://schemas.openxmlformats.org/officeDocument/2006/relationships/image" Target="media/image10.png"/><Relationship Id="rId45" Type="http://schemas.openxmlformats.org/officeDocument/2006/relationships/image" Target="media/image7.png"/><Relationship Id="rId89" Type="http://schemas.openxmlformats.org/officeDocument/2006/relationships/hyperlink" Target="https://elifesciences.org/articles/61387" TargetMode="External"/><Relationship Id="rId80" Type="http://schemas.openxmlformats.org/officeDocument/2006/relationships/hyperlink" Target="https://www.eduhk.hk/iclt2026/doc/ICLT%202026%20Conference%20Proceedings_20260417.pdf" TargetMode="External"/><Relationship Id="rId82" Type="http://schemas.openxmlformats.org/officeDocument/2006/relationships/hyperlink" Target="https://www.researchgate.net/publication/376649688_A_Delphi_Study_on_Generative_Artificial_Intelligence_and_English_Medium_Instruction_Assessment_Implications_for_Social_Justice_Iranian_Journal_of_Language_Teaching_Research" TargetMode="External"/><Relationship Id="rId81" Type="http://schemas.openxmlformats.org/officeDocument/2006/relationships/hyperlink" Target="https://srhe.ac.uk/wp-content/uploads/2023/12/AbstractsPapersSRHEConference23.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11.png"/><Relationship Id="rId47" Type="http://schemas.openxmlformats.org/officeDocument/2006/relationships/image" Target="media/image14.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32.png"/><Relationship Id="rId8" Type="http://schemas.openxmlformats.org/officeDocument/2006/relationships/image" Target="media/image22.png"/><Relationship Id="rId73" Type="http://schemas.openxmlformats.org/officeDocument/2006/relationships/hyperlink" Target="https://www.codility.com/resources__trashed/predict-job-performance/" TargetMode="External"/><Relationship Id="rId72" Type="http://schemas.openxmlformats.org/officeDocument/2006/relationships/hyperlink" Target="https://www.cs.tufts.edu/~nr/cs257/archive/robert-sternberg/Successful%20Intelligence.pdf" TargetMode="External"/><Relationship Id="rId31" Type="http://schemas.openxmlformats.org/officeDocument/2006/relationships/image" Target="media/image26.png"/><Relationship Id="rId75" Type="http://schemas.openxmlformats.org/officeDocument/2006/relationships/hyperlink" Target="https://www.researchgate.net/publication/341573111_Four_Models_of_Higher_Education_in_2030" TargetMode="External"/><Relationship Id="rId30" Type="http://schemas.openxmlformats.org/officeDocument/2006/relationships/image" Target="media/image24.png"/><Relationship Id="rId74" Type="http://schemas.openxmlformats.org/officeDocument/2006/relationships/hyperlink" Target="https://www.quora.com/Hi-how-are-you-doing-Do-you-recommend-the-MITx-MicroMasters-in-Data-Science-How-was-your-experience-How-recruters-see-this-course" TargetMode="External"/><Relationship Id="rId33" Type="http://schemas.openxmlformats.org/officeDocument/2006/relationships/image" Target="media/image15.png"/><Relationship Id="rId77" Type="http://schemas.openxmlformats.org/officeDocument/2006/relationships/hyperlink" Target="https://chrismaclellan.com/media/publications/chaplot-2018.pdf" TargetMode="External"/><Relationship Id="rId32" Type="http://schemas.openxmlformats.org/officeDocument/2006/relationships/image" Target="media/image25.png"/><Relationship Id="rId76" Type="http://schemas.openxmlformats.org/officeDocument/2006/relationships/hyperlink" Target="https://openlearning.mit.edu/sites/default/files/inline-files/Benchmarking%20Phase%201%20Report%20%28Final%29.pdf" TargetMode="External"/><Relationship Id="rId35" Type="http://schemas.openxmlformats.org/officeDocument/2006/relationships/image" Target="media/image16.png"/><Relationship Id="rId79" Type="http://schemas.openxmlformats.org/officeDocument/2006/relationships/hyperlink" Target="https://arxiv.org/html/2604.12191v1" TargetMode="External"/><Relationship Id="rId34" Type="http://schemas.openxmlformats.org/officeDocument/2006/relationships/image" Target="media/image48.png"/><Relationship Id="rId78" Type="http://schemas.openxmlformats.org/officeDocument/2006/relationships/hyperlink" Target="https://www.science.gov/topicpages/d/delayed+posttest+results" TargetMode="External"/><Relationship Id="rId71" Type="http://schemas.openxmlformats.org/officeDocument/2006/relationships/hyperlink" Target="https://www.researchgate.net/publication/222432777_The_Rainbow_Project_Enhancing_the_SAT_Through_Assessments_of_Analytical_Practical_and_Creative_Skills" TargetMode="External"/><Relationship Id="rId70" Type="http://schemas.openxmlformats.org/officeDocument/2006/relationships/hyperlink" Target="https://www.kedi.re.kr/eng/kedi/cmmn/file/fileDown.do?menuNo=200067&amp;atchFileId=FILE_000000000003352&amp;fileSn=1&amp;bbsId" TargetMode="External"/><Relationship Id="rId37" Type="http://schemas.openxmlformats.org/officeDocument/2006/relationships/image" Target="media/image12.png"/><Relationship Id="rId36" Type="http://schemas.openxmlformats.org/officeDocument/2006/relationships/image" Target="media/image4.png"/><Relationship Id="rId39" Type="http://schemas.openxmlformats.org/officeDocument/2006/relationships/image" Target="media/image9.png"/><Relationship Id="rId38" Type="http://schemas.openxmlformats.org/officeDocument/2006/relationships/image" Target="media/image5.png"/><Relationship Id="rId62" Type="http://schemas.openxmlformats.org/officeDocument/2006/relationships/hyperlink" Target="https://provost.gatech.edu/sites/default/files/documents/deliberate_innovation_lifetime_education.pdf" TargetMode="External"/><Relationship Id="rId61" Type="http://schemas.openxmlformats.org/officeDocument/2006/relationships/hyperlink" Target="https://www.uni-bamberg.de/fileadmin/bildungsforschung/Publikationen/Artelt/Doerfler_Golke_Artelt_Dynamic_Assessment.pdf" TargetMode="External"/><Relationship Id="rId20" Type="http://schemas.openxmlformats.org/officeDocument/2006/relationships/image" Target="media/image45.png"/><Relationship Id="rId64" Type="http://schemas.openxmlformats.org/officeDocument/2006/relationships/hyperlink" Target="https://pure.mpg.de/rest/items/item_3710077_1/component/file_3710078/content" TargetMode="External"/><Relationship Id="rId63" Type="http://schemas.openxmlformats.org/officeDocument/2006/relationships/hyperlink" Target="https://www.researchgate.net/publication/249834043_The_Predictive_Validity_of_Dynamic_Assessment_A_Review" TargetMode="External"/><Relationship Id="rId22" Type="http://schemas.openxmlformats.org/officeDocument/2006/relationships/image" Target="media/image23.png"/><Relationship Id="rId66" Type="http://schemas.openxmlformats.org/officeDocument/2006/relationships/hyperlink" Target="https://paulokeefe.com/wp-content/uploads/2024/09/Grigorenko-OKeefe-2004b.pdf" TargetMode="External"/><Relationship Id="rId21" Type="http://schemas.openxmlformats.org/officeDocument/2006/relationships/image" Target="media/image43.png"/><Relationship Id="rId65" Type="http://schemas.openxmlformats.org/officeDocument/2006/relationships/hyperlink" Target="https://www.researchgate.net/publication/236211779_Explanatory_item_response_modeling_of_children's_change_on_a_dynamic_test_of_analogical_reasoning" TargetMode="External"/><Relationship Id="rId24" Type="http://schemas.openxmlformats.org/officeDocument/2006/relationships/image" Target="media/image44.png"/><Relationship Id="rId68" Type="http://schemas.openxmlformats.org/officeDocument/2006/relationships/hyperlink" Target="https://www.researchgate.net/publication/258185033_Development_of_the_Learning_Potential_Computerised_Adaptive_Test_LPCAT" TargetMode="External"/><Relationship Id="rId23" Type="http://schemas.openxmlformats.org/officeDocument/2006/relationships/image" Target="media/image30.png"/><Relationship Id="rId67" Type="http://schemas.openxmlformats.org/officeDocument/2006/relationships/hyperlink" Target="https://www.nifdi.org/what-is-di/88-news/kerry" TargetMode="External"/><Relationship Id="rId60" Type="http://schemas.openxmlformats.org/officeDocument/2006/relationships/hyperlink" Target="https://pmc.ncbi.nlm.nih.gov/articles/PMC3867599/" TargetMode="External"/><Relationship Id="rId26" Type="http://schemas.openxmlformats.org/officeDocument/2006/relationships/image" Target="media/image21.png"/><Relationship Id="rId25" Type="http://schemas.openxmlformats.org/officeDocument/2006/relationships/image" Target="media/image46.png"/><Relationship Id="rId69" Type="http://schemas.openxmlformats.org/officeDocument/2006/relationships/hyperlink" Target="https://www.medrxiv.org/content/10.1101/2022.09.19.22279942v1.full-text" TargetMode="External"/><Relationship Id="rId28" Type="http://schemas.openxmlformats.org/officeDocument/2006/relationships/image" Target="media/image28.png"/><Relationship Id="rId27" Type="http://schemas.openxmlformats.org/officeDocument/2006/relationships/image" Target="media/image18.png"/><Relationship Id="rId29" Type="http://schemas.openxmlformats.org/officeDocument/2006/relationships/image" Target="media/image19.png"/><Relationship Id="rId51" Type="http://schemas.openxmlformats.org/officeDocument/2006/relationships/image" Target="media/image17.png"/><Relationship Id="rId50" Type="http://schemas.openxmlformats.org/officeDocument/2006/relationships/image" Target="media/image47.png"/><Relationship Id="rId53" Type="http://schemas.openxmlformats.org/officeDocument/2006/relationships/image" Target="media/image36.png"/><Relationship Id="rId52" Type="http://schemas.openxmlformats.org/officeDocument/2006/relationships/image" Target="media/image42.png"/><Relationship Id="rId11" Type="http://schemas.openxmlformats.org/officeDocument/2006/relationships/image" Target="media/image34.png"/><Relationship Id="rId55" Type="http://schemas.openxmlformats.org/officeDocument/2006/relationships/hyperlink" Target="https://files.eric.ed.gov/fulltext/EJ1328825.pdf" TargetMode="External"/><Relationship Id="rId10" Type="http://schemas.openxmlformats.org/officeDocument/2006/relationships/image" Target="media/image27.png"/><Relationship Id="rId54" Type="http://schemas.openxmlformats.org/officeDocument/2006/relationships/hyperlink" Target="https://sstemler.faculty.wesleyan.edu/files/2016/09/2006_Sternberg_et_al_Rainbow.pdf" TargetMode="External"/><Relationship Id="rId13" Type="http://schemas.openxmlformats.org/officeDocument/2006/relationships/image" Target="media/image40.png"/><Relationship Id="rId57" Type="http://schemas.openxmlformats.org/officeDocument/2006/relationships/hyperlink" Target="https://www.tandfonline.com/doi/full/10.1080/02699206.2026.2668117" TargetMode="External"/><Relationship Id="rId12" Type="http://schemas.openxmlformats.org/officeDocument/2006/relationships/image" Target="media/image29.png"/><Relationship Id="rId56" Type="http://schemas.openxmlformats.org/officeDocument/2006/relationships/hyperlink" Target="https://gmwpublic.studenttheses.ub.rug.nl/5325/1/Master-Thesis-Dynamic-Assessment-in-Education-Performance-Prediction-Cecile-Wiersema-S4392299-2.pdf" TargetMode="External"/><Relationship Id="rId90" Type="http://schemas.openxmlformats.org/officeDocument/2006/relationships/hyperlink" Target="https://fair.unifg.it/retrieve/36daeeed-9c1b-4b67-a022-c17652e97781/Borrelli_Tesi_Dottorato_firma%20digitale.pdf" TargetMode="External"/><Relationship Id="rId15" Type="http://schemas.openxmlformats.org/officeDocument/2006/relationships/image" Target="media/image41.png"/><Relationship Id="rId59" Type="http://schemas.openxmlformats.org/officeDocument/2006/relationships/hyperlink" Target="https://www.frontiersin.org/journals/psychology/articles/10.3389/fpsyg.2017.00173/full" TargetMode="External"/><Relationship Id="rId14" Type="http://schemas.openxmlformats.org/officeDocument/2006/relationships/image" Target="media/image35.png"/><Relationship Id="rId58" Type="http://schemas.openxmlformats.org/officeDocument/2006/relationships/hyperlink" Target="https://pubs.asha.org/doi/10.1044/2024_PERSP-23-00262" TargetMode="External"/><Relationship Id="rId17" Type="http://schemas.openxmlformats.org/officeDocument/2006/relationships/image" Target="media/image39.png"/><Relationship Id="rId16" Type="http://schemas.openxmlformats.org/officeDocument/2006/relationships/image" Target="media/image33.png"/><Relationship Id="rId19" Type="http://schemas.openxmlformats.org/officeDocument/2006/relationships/image" Target="media/image37.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