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6318" w14:textId="2A8BE2DA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  <w:t>PROJECT ANALYSIS REPORT</w:t>
      </w:r>
    </w:p>
    <w:p w14:paraId="4A8D7C11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Project Title: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HR Analytics Attrition Dashboard</w:t>
      </w:r>
    </w:p>
    <w:p w14:paraId="30DD64D4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Environment: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Power BI Desktop</w:t>
      </w:r>
    </w:p>
    <w:p w14:paraId="3871EBE3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Target Audience: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HR Leadership &amp; Executive Stakeholders</w:t>
      </w:r>
    </w:p>
    <w:p w14:paraId="05733943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Design Paradigm: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Dark Gradient Modern UI (Deep Blue to Burgundy)</w:t>
      </w:r>
    </w:p>
    <w:p w14:paraId="306871FE" w14:textId="77777777" w:rsid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Dataset Scope: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1,470 Workforce Records | 237 Historical Attrition Cases</w:t>
      </w:r>
    </w:p>
    <w:p w14:paraId="46B24EAD" w14:textId="331D1893" w:rsidR="00D95D3C" w:rsidRPr="004E7207" w:rsidRDefault="00D95D3C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>
        <w:rPr>
          <w:noProof/>
        </w:rPr>
        <w:drawing>
          <wp:inline distT="0" distB="0" distL="0" distR="0" wp14:anchorId="7E449E09" wp14:editId="2A46BBAD">
            <wp:extent cx="5943600" cy="3437255"/>
            <wp:effectExtent l="0" t="0" r="0" b="0"/>
            <wp:docPr id="13112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EF05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1. Executive Summary &amp; Core KPIs</w:t>
      </w:r>
    </w:p>
    <w:p w14:paraId="7683732C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This evaluation establishes a high-level corporate pulse check across the organization's workforce. The metrics showcase an organization operating with an overall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Attrition Rate of 16.1%</w:t>
      </w:r>
      <w:r w:rsidRPr="004E7207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2BE64F74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+-------------------+-------------------+-------------------+</w:t>
      </w:r>
    </w:p>
    <w:p w14:paraId="3D82E158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|  TOTAL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EMPLOYEES  |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TOTAL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ATTRITION  |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ATTRITION RATE   |</w:t>
      </w:r>
    </w:p>
    <w:p w14:paraId="610BBC64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|       1,470       |        237        |      16.1%        |</w:t>
      </w:r>
    </w:p>
    <w:p w14:paraId="1A4736DA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+-------------------+-------------------+-------------------+</w:t>
      </w:r>
    </w:p>
    <w:p w14:paraId="390FF99A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|    AVERAGE AGE   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|  AVERAGE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SALARY   |   AVERAGE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TENURE  |</w:t>
      </w:r>
      <w:proofErr w:type="gramEnd"/>
    </w:p>
    <w:p w14:paraId="34E74976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|     37 Years      |     $6.5K / </w:t>
      </w:r>
      <w:proofErr w:type="spell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</w:t>
      </w:r>
      <w:proofErr w:type="spell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|     7.0 Years     |</w:t>
      </w:r>
    </w:p>
    <w:p w14:paraId="27F9F668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+-------------------+-------------------+-------------------+</w:t>
      </w:r>
    </w:p>
    <w:p w14:paraId="3B6EB2A6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Strategic Interpretations:</w:t>
      </w:r>
    </w:p>
    <w:p w14:paraId="20C84CFE" w14:textId="569BB2B3" w:rsidR="004E7207" w:rsidRPr="004E7207" w:rsidRDefault="004E7207" w:rsidP="004E7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16.1% Baseline: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While typical benchmark attrition ranges between 10% and 15%</w:t>
      </w:r>
      <w:r>
        <w:rPr>
          <w:rFonts w:eastAsia="Times New Roman" w:cs="Times New Roman"/>
          <w:color w:val="auto"/>
          <w:kern w:val="0"/>
          <w14:ligatures w14:val="none"/>
        </w:rPr>
        <w:t>,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depending on the sector, a 16.1% rate signals localized systemic friction.</w:t>
      </w:r>
    </w:p>
    <w:p w14:paraId="3F3E7913" w14:textId="77777777" w:rsidR="004E7207" w:rsidRPr="004E7207" w:rsidRDefault="004E7207" w:rsidP="004E7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Maturity Dilemma: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With an average age of 37 and a healthy average tenure of 7 years, the organization has a solid baseline of experienced talent. However, the aggregate numbers hide critical flight risks in specific career segments.</w:t>
      </w:r>
    </w:p>
    <w:p w14:paraId="5AB7AEB5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2. Demographic Flight Risk Analysis</w:t>
      </w:r>
    </w:p>
    <w:p w14:paraId="53B649AB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Attrition by Age Bracket (Column Chart Visualization)</w:t>
      </w:r>
    </w:p>
    <w:p w14:paraId="1334FEE3" w14:textId="386A0EE9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The age distribution of </w:t>
      </w:r>
      <w:r>
        <w:rPr>
          <w:rFonts w:eastAsia="Times New Roman" w:cs="Times New Roman"/>
          <w:color w:val="auto"/>
          <w:kern w:val="0"/>
          <w14:ligatures w14:val="none"/>
        </w:rPr>
        <w:t>existing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employees follows a highly aggressive bell curve skewed heavily toward younger cohorts:</w:t>
      </w:r>
    </w:p>
    <w:p w14:paraId="7323152A" w14:textId="77777777" w:rsidR="004E7207" w:rsidRPr="004E7207" w:rsidRDefault="004E7207" w:rsidP="004E720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Age 18–25: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44 cases</w:t>
      </w:r>
    </w:p>
    <w:p w14:paraId="23EFF022" w14:textId="77777777" w:rsidR="004E7207" w:rsidRPr="004E7207" w:rsidRDefault="004E7207" w:rsidP="004E720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Age 26–35: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116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(Absolute Peak)</w:t>
      </w:r>
    </w:p>
    <w:p w14:paraId="46DC1634" w14:textId="77777777" w:rsidR="004E7207" w:rsidRPr="004E7207" w:rsidRDefault="004E7207" w:rsidP="004E720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Age 36–45: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43 cases</w:t>
      </w:r>
    </w:p>
    <w:p w14:paraId="044C982B" w14:textId="77777777" w:rsidR="004E7207" w:rsidRPr="004E7207" w:rsidRDefault="004E7207" w:rsidP="004E720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Age 46–55: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26 cases</w:t>
      </w:r>
    </w:p>
    <w:p w14:paraId="097663D8" w14:textId="77777777" w:rsidR="004E7207" w:rsidRPr="004E7207" w:rsidRDefault="004E7207" w:rsidP="004E720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Age 55+: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8 cases</w:t>
      </w:r>
    </w:p>
    <w:p w14:paraId="1DE10E1E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Attrition Volume by Age Segment:</w:t>
      </w:r>
    </w:p>
    <w:p w14:paraId="5DE754A9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18–25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███████████] 44</w:t>
      </w:r>
    </w:p>
    <w:p w14:paraId="45D9DFAF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0EA7C757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26–35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█████████████████████████████████]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116  &lt;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-- CRITICAL EXPOSURE</w:t>
      </w:r>
    </w:p>
    <w:p w14:paraId="59D91AE6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55971651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36–45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███████████] 43</w:t>
      </w:r>
    </w:p>
    <w:p w14:paraId="3EB9E02B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204006BB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46–55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██████] 26</w:t>
      </w:r>
    </w:p>
    <w:p w14:paraId="6934984B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534EFD96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55+ 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██] 8</w:t>
      </w:r>
    </w:p>
    <w:p w14:paraId="1863528A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Critical Insight: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Combined, the under-35 workforce accounts for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67.5% of all corporate exits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(160 out of 237). The 26–35 age bracket represents the primary professional development window, indicating that the organization is bleeding high-potential talent before they transition into mid-level management roles.</w:t>
      </w:r>
    </w:p>
    <w:p w14:paraId="356232F4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Attrition by Education Field (Donut Chart Visualization)</w:t>
      </w:r>
    </w:p>
    <w:p w14:paraId="134984AC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>Exits mapped against academic backgrounds reveal structural concentration:</w:t>
      </w:r>
    </w:p>
    <w:p w14:paraId="06737FA6" w14:textId="77777777" w:rsidR="004E7207" w:rsidRPr="004E7207" w:rsidRDefault="004E7207" w:rsidP="004E720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Life Sciences: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38%</w:t>
      </w:r>
    </w:p>
    <w:p w14:paraId="17F4A985" w14:textId="77777777" w:rsidR="004E7207" w:rsidRPr="004E7207" w:rsidRDefault="004E7207" w:rsidP="004E720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Medical: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27%</w:t>
      </w:r>
    </w:p>
    <w:p w14:paraId="20181F39" w14:textId="77777777" w:rsidR="004E7207" w:rsidRPr="004E7207" w:rsidRDefault="004E7207" w:rsidP="004E720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Marketing: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15%</w:t>
      </w:r>
    </w:p>
    <w:p w14:paraId="58728142" w14:textId="77777777" w:rsidR="004E7207" w:rsidRPr="004E7207" w:rsidRDefault="004E7207" w:rsidP="004E720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Technical Degree: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14%</w:t>
      </w:r>
    </w:p>
    <w:p w14:paraId="3BD5999E" w14:textId="77777777" w:rsidR="004E7207" w:rsidRPr="004E7207" w:rsidRDefault="004E7207" w:rsidP="004E720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Other: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5%</w:t>
      </w:r>
    </w:p>
    <w:p w14:paraId="01EB7EDF" w14:textId="77777777" w:rsid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lastRenderedPageBreak/>
        <w:t>Critical Insight: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Over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65% of all departed employees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hold educational backgrounds in Life Sciences or Medical disciplines. This correlates directly with the operational departments suffering the highest churn rates.</w:t>
      </w:r>
    </w:p>
    <w:p w14:paraId="365FC9B9" w14:textId="5A51746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3. Financial &amp; Tenure Correlates</w:t>
      </w:r>
    </w:p>
    <w:p w14:paraId="13CA8671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Compensation Compression (Horizontal Bar Chart Visualization)</w:t>
      </w:r>
    </w:p>
    <w:p w14:paraId="5B94546C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>Analyzing turnover across monthly income brackets highlights compensation as a primary driver of attrition:</w:t>
      </w:r>
    </w:p>
    <w:p w14:paraId="647795FD" w14:textId="77777777" w:rsidR="004E7207" w:rsidRPr="004E7207" w:rsidRDefault="004E7207" w:rsidP="004E720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Up to $5,000/month: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163 cases</w:t>
      </w:r>
    </w:p>
    <w:p w14:paraId="5AC1F42F" w14:textId="77777777" w:rsidR="004E7207" w:rsidRPr="004E7207" w:rsidRDefault="004E7207" w:rsidP="004E720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$5,000–$10,000/month: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49 cases</w:t>
      </w:r>
    </w:p>
    <w:p w14:paraId="5DC190C7" w14:textId="77777777" w:rsidR="004E7207" w:rsidRPr="004E7207" w:rsidRDefault="004E7207" w:rsidP="004E720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$10,000–$15,000/month: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20 cases</w:t>
      </w:r>
    </w:p>
    <w:p w14:paraId="65DC1D19" w14:textId="77777777" w:rsidR="004E7207" w:rsidRPr="004E7207" w:rsidRDefault="004E7207" w:rsidP="004E720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$15,000+/month: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5 cases</w:t>
      </w:r>
    </w:p>
    <w:p w14:paraId="48553D1F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Income-Based Attrition Distribution:</w:t>
      </w:r>
    </w:p>
    <w:p w14:paraId="09169D77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Low Earners (&lt;$5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k)   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[████████████████████████████████████████] 163 cases (68.8%)</w:t>
      </w:r>
    </w:p>
    <w:p w14:paraId="43A3917B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Mid Earners ($5k-$10k) [██████████] 49 cases</w:t>
      </w:r>
    </w:p>
    <w:p w14:paraId="625B1000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7510FED0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High Earners (&gt;$10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k)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██████] 25 cases</w:t>
      </w:r>
    </w:p>
    <w:p w14:paraId="280C5751" w14:textId="2279F971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Critical Insight: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68.8% of all lost talent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occurs among individuals making under $5,000 a month. This clearly indicates that junior employees and entry-level staff are highly price-sensitive, making them prone to leaving for marginal </w:t>
      </w:r>
      <w:r>
        <w:rPr>
          <w:rFonts w:eastAsia="Times New Roman" w:cs="Times New Roman"/>
          <w:color w:val="auto"/>
          <w:kern w:val="0"/>
          <w14:ligatures w14:val="none"/>
        </w:rPr>
        <w:t>increases in compensation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elsewhere.</w:t>
      </w:r>
    </w:p>
    <w:p w14:paraId="7C7E8BAC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The "First-Year" Paradox (Area Chart Visualization)</w:t>
      </w:r>
    </w:p>
    <w:p w14:paraId="1DC1501B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>Plotting attrition counts over chronological tenure reveals an alarming trend:</w:t>
      </w:r>
    </w:p>
    <w:p w14:paraId="1C2AD0C9" w14:textId="77777777" w:rsidR="004E7207" w:rsidRPr="004E7207" w:rsidRDefault="004E7207" w:rsidP="004E720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Year 1 Spike: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59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(Historical Zenith)</w:t>
      </w:r>
    </w:p>
    <w:p w14:paraId="3198729B" w14:textId="77777777" w:rsidR="004E7207" w:rsidRPr="004E7207" w:rsidRDefault="004E7207" w:rsidP="004E720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Year 5 Ripple: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19 cases</w:t>
      </w:r>
    </w:p>
    <w:p w14:paraId="40717801" w14:textId="77777777" w:rsidR="004E7207" w:rsidRPr="004E7207" w:rsidRDefault="004E7207" w:rsidP="004E7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Year 10 Ripple: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10 cases</w:t>
      </w:r>
    </w:p>
    <w:p w14:paraId="5C159414" w14:textId="450833FC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Critical Insight: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The data </w:t>
      </w:r>
      <w:r>
        <w:rPr>
          <w:rFonts w:eastAsia="Times New Roman" w:cs="Times New Roman"/>
          <w:color w:val="auto"/>
          <w:kern w:val="0"/>
          <w14:ligatures w14:val="none"/>
        </w:rPr>
        <w:t>indicate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that the first 12 months of employment represent the most precarious retention window. Once an employee crosses the 1-year threshold, the probability of attrition drops significantly. The smaller ripples at year 5 and year 10 match traditional career transitions or promotion cycles, but the primary threat is early-stage attrition.</w:t>
      </w:r>
    </w:p>
    <w:p w14:paraId="42DEBBAD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4. Operational Vulnerability Matrix</w:t>
      </w:r>
    </w:p>
    <w:p w14:paraId="75D2B1B6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The cross-tabulation matrix evaluates raw attrition counts across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Job Roles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distributed against a standardized performance/satisfaction rating grid (scales 1 through 4):</w:t>
      </w:r>
    </w:p>
    <w:p w14:paraId="2EF89977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Comprehensive Role Attrition Ledger</w:t>
      </w:r>
    </w:p>
    <w:p w14:paraId="122437EF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lastRenderedPageBreak/>
        <w:t>Laboratory Technician: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62 total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(Rank 1 Risk)</w:t>
      </w:r>
    </w:p>
    <w:p w14:paraId="12828D2A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Sales Executive: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57 total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(Rank 2 Risk)</w:t>
      </w:r>
    </w:p>
    <w:p w14:paraId="356E46B8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Research Scientist: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47 total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(Rank 3 Risk)</w:t>
      </w:r>
    </w:p>
    <w:p w14:paraId="629BDF1A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Sales Representative: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33 total cases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(Rank 4 Risk)</w:t>
      </w:r>
    </w:p>
    <w:p w14:paraId="10CAD59E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Human Resources: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12 total cases</w:t>
      </w:r>
    </w:p>
    <w:p w14:paraId="5071DAD3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Manufacturing Director: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10 total cases</w:t>
      </w:r>
    </w:p>
    <w:p w14:paraId="3AE4B4FB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Healthcare Representative: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9 total cases</w:t>
      </w:r>
    </w:p>
    <w:p w14:paraId="72FFE356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Manager: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5 total cases</w:t>
      </w:r>
    </w:p>
    <w:p w14:paraId="5DC1587F" w14:textId="77777777" w:rsidR="004E7207" w:rsidRPr="004E7207" w:rsidRDefault="004E7207" w:rsidP="004E720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Research Director: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2 total cases</w:t>
      </w:r>
    </w:p>
    <w:p w14:paraId="5D6CDC86" w14:textId="77777777" w:rsidR="004E7207" w:rsidRPr="004E7207" w:rsidRDefault="004E7207" w:rsidP="004E720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Total Audited Matrix Verification: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237</w:t>
      </w:r>
    </w:p>
    <w:p w14:paraId="3454D919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Top 4 Attrition Roles (70% of Total Turnover):</w:t>
      </w:r>
    </w:p>
    <w:p w14:paraId="36195472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===================================================================</w:t>
      </w:r>
    </w:p>
    <w:p w14:paraId="04C97462" w14:textId="399785CB" w:rsidR="004E7207" w:rsidRPr="00D95D3C" w:rsidRDefault="004E7207" w:rsidP="00D95D3C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95D3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Laboratory </w:t>
      </w:r>
      <w:proofErr w:type="gramStart"/>
      <w:r w:rsidRPr="00D95D3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Technician  [</w:t>
      </w:r>
      <w:proofErr w:type="gramEnd"/>
      <w:r w:rsidRPr="00D95D3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██████████████████████████████] 62</w:t>
      </w:r>
    </w:p>
    <w:p w14:paraId="1EF8606A" w14:textId="0771A8CA" w:rsidR="00D95D3C" w:rsidRPr="00D95D3C" w:rsidRDefault="00D95D3C" w:rsidP="00D95D3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3F827458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2. Sales Executive    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███████████████████████████] 57</w:t>
      </w:r>
    </w:p>
    <w:p w14:paraId="77425F14" w14:textId="77777777" w:rsidR="00D95D3C" w:rsidRPr="004E7207" w:rsidRDefault="00D95D3C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0AB63C46" w14:textId="77777777" w:rsid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3. Research Scientist  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██████████████████████] 47</w:t>
      </w:r>
    </w:p>
    <w:p w14:paraId="50AC8DEF" w14:textId="77777777" w:rsidR="00D95D3C" w:rsidRPr="004E7207" w:rsidRDefault="00D95D3C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0C32F6EA" w14:textId="77777777" w:rsidR="004E7207" w:rsidRPr="004E7207" w:rsidRDefault="004E7207" w:rsidP="004E7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4. Sales Representative</w:t>
      </w:r>
      <w:proofErr w:type="gramStart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4E720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████████████████] 33</w:t>
      </w:r>
    </w:p>
    <w:p w14:paraId="1A372C4D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Critical Insight: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The operations floor, laboratory infrastructure, and front-line sales teams account for the vast majority of turnover. Execution-focused technical roles (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Laboratory Technicians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and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Research Scientists</w:t>
      </w:r>
      <w:r w:rsidRPr="004E7207">
        <w:rPr>
          <w:rFonts w:eastAsia="Times New Roman" w:cs="Times New Roman"/>
          <w:color w:val="auto"/>
          <w:kern w:val="0"/>
          <w14:ligatures w14:val="none"/>
        </w:rPr>
        <w:t>) combined with frontline revenue generation roles (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Sales Executives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and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Sales Representatives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) account for </w:t>
      </w: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84.3% of total attrition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(200 out of 237 cases).</w:t>
      </w:r>
    </w:p>
    <w:p w14:paraId="51AB4FC7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36"/>
          <w:szCs w:val="36"/>
          <w14:ligatures w14:val="none"/>
        </w:rPr>
        <w:t>5. Strategic Recommendations for HR Leadership</w:t>
      </w:r>
    </w:p>
    <w:p w14:paraId="34205BE9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color w:val="auto"/>
          <w:kern w:val="0"/>
          <w14:ligatures w14:val="none"/>
        </w:rPr>
        <w:t>Based on the patterns identified across the Power BI metrics, the organization should focus on three target areas:</w:t>
      </w:r>
    </w:p>
    <w:p w14:paraId="5872D295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1. Re-engineer the Onboarding &amp; First-Year Experience</w:t>
      </w:r>
    </w:p>
    <w:p w14:paraId="48058F45" w14:textId="77777777" w:rsidR="004E7207" w:rsidRPr="004E7207" w:rsidRDefault="004E7207" w:rsidP="004E72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Data Justification: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The area chart shows a massive spike of 59 cases at the 1-year mark.</w:t>
      </w:r>
    </w:p>
    <w:p w14:paraId="18562E8C" w14:textId="77777777" w:rsidR="004E7207" w:rsidRPr="004E7207" w:rsidRDefault="004E7207" w:rsidP="004E72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Action Plan: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Implement a structured </w:t>
      </w:r>
      <w:proofErr w:type="gramStart"/>
      <w:r w:rsidRPr="004E7207">
        <w:rPr>
          <w:rFonts w:eastAsia="Times New Roman" w:cs="Times New Roman"/>
          <w:color w:val="auto"/>
          <w:kern w:val="0"/>
          <w14:ligatures w14:val="none"/>
        </w:rPr>
        <w:t>30-60-90 day</w:t>
      </w:r>
      <w:proofErr w:type="gramEnd"/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check-in framework overseen by neutral HR Business Partners rather than direct managers. Introduce a formal peer-mentorship program during the first six months to build stronger organizational connections early on.</w:t>
      </w:r>
    </w:p>
    <w:p w14:paraId="3D447A97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2. Address Entry-Level Compensation Benchmarks</w:t>
      </w:r>
    </w:p>
    <w:p w14:paraId="071FC282" w14:textId="77777777" w:rsidR="004E7207" w:rsidRPr="004E7207" w:rsidRDefault="004E7207" w:rsidP="004E7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Data Justification: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163 out of 237 departed employees earned less than $5,000 per month.</w:t>
      </w:r>
    </w:p>
    <w:p w14:paraId="6875ABEC" w14:textId="77777777" w:rsidR="004E7207" w:rsidRPr="004E7207" w:rsidRDefault="004E7207" w:rsidP="004E7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lastRenderedPageBreak/>
        <w:t>The Action Plan: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Conduct a market-rate salary review for entry-level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Laboratory Technicians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and </w:t>
      </w:r>
      <w:r w:rsidRPr="004E7207">
        <w:rPr>
          <w:rFonts w:eastAsia="Times New Roman" w:cs="Times New Roman"/>
          <w:i/>
          <w:iCs/>
          <w:color w:val="auto"/>
          <w:kern w:val="0"/>
          <w14:ligatures w14:val="none"/>
        </w:rPr>
        <w:t>Research Scientists</w:t>
      </w:r>
      <w:r w:rsidRPr="004E7207">
        <w:rPr>
          <w:rFonts w:eastAsia="Times New Roman" w:cs="Times New Roman"/>
          <w:color w:val="auto"/>
          <w:kern w:val="0"/>
          <w14:ligatures w14:val="none"/>
        </w:rPr>
        <w:t>. Transition compensation structures away from low base-pay models by offering milestone-based bonuses at month 6 and month 12 to directly counter early-stage attrition.</w:t>
      </w:r>
    </w:p>
    <w:p w14:paraId="05516D81" w14:textId="77777777" w:rsidR="004E7207" w:rsidRPr="004E7207" w:rsidRDefault="004E7207" w:rsidP="004E7207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3. Focus on Career Pathing for Early-Career Professionals</w:t>
      </w:r>
    </w:p>
    <w:p w14:paraId="1FE2AF81" w14:textId="77777777" w:rsidR="004E7207" w:rsidRPr="004E7207" w:rsidRDefault="004E7207" w:rsidP="004E7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Data Justification: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The 26–35 age group represents the highest concentration of attrition, with 116 cases.</w:t>
      </w:r>
    </w:p>
    <w:p w14:paraId="56739FD5" w14:textId="77777777" w:rsidR="004E7207" w:rsidRPr="004E7207" w:rsidRDefault="004E7207" w:rsidP="004E7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14:ligatures w14:val="none"/>
        </w:rPr>
      </w:pPr>
      <w:r w:rsidRPr="004E7207">
        <w:rPr>
          <w:rFonts w:eastAsia="Times New Roman" w:cs="Times New Roman"/>
          <w:b/>
          <w:bCs/>
          <w:color w:val="auto"/>
          <w:kern w:val="0"/>
          <w14:ligatures w14:val="none"/>
        </w:rPr>
        <w:t>The Action Plan:</w:t>
      </w:r>
      <w:r w:rsidRPr="004E7207">
        <w:rPr>
          <w:rFonts w:eastAsia="Times New Roman" w:cs="Times New Roman"/>
          <w:color w:val="auto"/>
          <w:kern w:val="0"/>
          <w14:ligatures w14:val="none"/>
        </w:rPr>
        <w:t xml:space="preserve"> Define clear, visible advancement tracks for technical and sales roles. Shift from traditional annual reviews to semi-annual career development assessments for employees under 35, ensuring they see a viable long-term career path within the company.</w:t>
      </w:r>
    </w:p>
    <w:p w14:paraId="55EA6CFB" w14:textId="77777777" w:rsidR="005B61BF" w:rsidRDefault="005B61BF" w:rsidP="004E7207">
      <w:pPr>
        <w:pBdr>
          <w:bottom w:val="dotted" w:sz="24" w:space="1" w:color="auto"/>
        </w:pBdr>
      </w:pPr>
    </w:p>
    <w:p w14:paraId="34FC3CD7" w14:textId="77777777" w:rsidR="004E7207" w:rsidRPr="004E7207" w:rsidRDefault="004E7207" w:rsidP="004E7207"/>
    <w:sectPr w:rsidR="004E7207" w:rsidRPr="004E7207" w:rsidSect="00D95D3C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AFD6" w14:textId="77777777" w:rsidR="00A14927" w:rsidRDefault="00A14927" w:rsidP="00D95D3C">
      <w:pPr>
        <w:spacing w:after="0" w:line="240" w:lineRule="auto"/>
      </w:pPr>
      <w:r>
        <w:separator/>
      </w:r>
    </w:p>
  </w:endnote>
  <w:endnote w:type="continuationSeparator" w:id="0">
    <w:p w14:paraId="52AADD42" w14:textId="77777777" w:rsidR="00A14927" w:rsidRDefault="00A14927" w:rsidP="00D95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1250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3183D5" w14:textId="09DCF657" w:rsidR="00D95D3C" w:rsidRDefault="00D95D3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DBB75D" w14:textId="77777777" w:rsidR="00D95D3C" w:rsidRDefault="00D95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FDA1" w14:textId="77777777" w:rsidR="00A14927" w:rsidRDefault="00A14927" w:rsidP="00D95D3C">
      <w:pPr>
        <w:spacing w:after="0" w:line="240" w:lineRule="auto"/>
      </w:pPr>
      <w:r>
        <w:separator/>
      </w:r>
    </w:p>
  </w:footnote>
  <w:footnote w:type="continuationSeparator" w:id="0">
    <w:p w14:paraId="0B365B83" w14:textId="77777777" w:rsidR="00A14927" w:rsidRDefault="00A14927" w:rsidP="00D95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6E9"/>
    <w:multiLevelType w:val="multilevel"/>
    <w:tmpl w:val="D45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AE1"/>
    <w:multiLevelType w:val="multilevel"/>
    <w:tmpl w:val="461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B34"/>
    <w:multiLevelType w:val="multilevel"/>
    <w:tmpl w:val="920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29E1"/>
    <w:multiLevelType w:val="multilevel"/>
    <w:tmpl w:val="9C84E2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6C54"/>
    <w:multiLevelType w:val="multilevel"/>
    <w:tmpl w:val="585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23492"/>
    <w:multiLevelType w:val="hybridMultilevel"/>
    <w:tmpl w:val="F8C40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73D50"/>
    <w:multiLevelType w:val="multilevel"/>
    <w:tmpl w:val="CD2C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32555"/>
    <w:multiLevelType w:val="multilevel"/>
    <w:tmpl w:val="3FD401A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A237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F51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C05999"/>
    <w:multiLevelType w:val="multilevel"/>
    <w:tmpl w:val="FCE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067C"/>
    <w:multiLevelType w:val="multilevel"/>
    <w:tmpl w:val="F22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16D8B"/>
    <w:multiLevelType w:val="hybridMultilevel"/>
    <w:tmpl w:val="9DBC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A9267A"/>
    <w:multiLevelType w:val="multilevel"/>
    <w:tmpl w:val="856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F4889"/>
    <w:multiLevelType w:val="hybridMultilevel"/>
    <w:tmpl w:val="4A2E43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CA691E"/>
    <w:multiLevelType w:val="multilevel"/>
    <w:tmpl w:val="DFA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50BD8"/>
    <w:multiLevelType w:val="multilevel"/>
    <w:tmpl w:val="FDC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D3E1F"/>
    <w:multiLevelType w:val="multilevel"/>
    <w:tmpl w:val="BDD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F4EF8"/>
    <w:multiLevelType w:val="multilevel"/>
    <w:tmpl w:val="ADD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54879"/>
    <w:multiLevelType w:val="hybridMultilevel"/>
    <w:tmpl w:val="7C7E6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4E2"/>
    <w:multiLevelType w:val="multilevel"/>
    <w:tmpl w:val="F6A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643FF"/>
    <w:multiLevelType w:val="multilevel"/>
    <w:tmpl w:val="A38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A7B0C"/>
    <w:multiLevelType w:val="multilevel"/>
    <w:tmpl w:val="BA2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30638"/>
    <w:multiLevelType w:val="multilevel"/>
    <w:tmpl w:val="9AEA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92879"/>
    <w:multiLevelType w:val="multilevel"/>
    <w:tmpl w:val="C5D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06AE4"/>
    <w:multiLevelType w:val="multilevel"/>
    <w:tmpl w:val="129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123E0"/>
    <w:multiLevelType w:val="multilevel"/>
    <w:tmpl w:val="196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424145">
    <w:abstractNumId w:val="7"/>
  </w:num>
  <w:num w:numId="2" w16cid:durableId="1117679617">
    <w:abstractNumId w:val="7"/>
  </w:num>
  <w:num w:numId="3" w16cid:durableId="544373953">
    <w:abstractNumId w:val="8"/>
  </w:num>
  <w:num w:numId="4" w16cid:durableId="955714647">
    <w:abstractNumId w:val="14"/>
  </w:num>
  <w:num w:numId="5" w16cid:durableId="1767924491">
    <w:abstractNumId w:val="6"/>
  </w:num>
  <w:num w:numId="6" w16cid:durableId="959528833">
    <w:abstractNumId w:val="18"/>
  </w:num>
  <w:num w:numId="7" w16cid:durableId="2011058976">
    <w:abstractNumId w:val="1"/>
  </w:num>
  <w:num w:numId="8" w16cid:durableId="1634405982">
    <w:abstractNumId w:val="9"/>
  </w:num>
  <w:num w:numId="9" w16cid:durableId="728306351">
    <w:abstractNumId w:val="15"/>
  </w:num>
  <w:num w:numId="10" w16cid:durableId="328367809">
    <w:abstractNumId w:val="20"/>
  </w:num>
  <w:num w:numId="11" w16cid:durableId="749354185">
    <w:abstractNumId w:val="0"/>
  </w:num>
  <w:num w:numId="12" w16cid:durableId="1500463065">
    <w:abstractNumId w:val="11"/>
  </w:num>
  <w:num w:numId="13" w16cid:durableId="1983071741">
    <w:abstractNumId w:val="17"/>
  </w:num>
  <w:num w:numId="14" w16cid:durableId="778455596">
    <w:abstractNumId w:val="10"/>
  </w:num>
  <w:num w:numId="15" w16cid:durableId="1356232187">
    <w:abstractNumId w:val="5"/>
  </w:num>
  <w:num w:numId="16" w16cid:durableId="51277309">
    <w:abstractNumId w:val="3"/>
  </w:num>
  <w:num w:numId="17" w16cid:durableId="431169006">
    <w:abstractNumId w:val="13"/>
  </w:num>
  <w:num w:numId="18" w16cid:durableId="181017951">
    <w:abstractNumId w:val="19"/>
  </w:num>
  <w:num w:numId="19" w16cid:durableId="1583566846">
    <w:abstractNumId w:val="24"/>
  </w:num>
  <w:num w:numId="20" w16cid:durableId="1982222167">
    <w:abstractNumId w:val="22"/>
  </w:num>
  <w:num w:numId="21" w16cid:durableId="1022318839">
    <w:abstractNumId w:val="21"/>
  </w:num>
  <w:num w:numId="22" w16cid:durableId="756748735">
    <w:abstractNumId w:val="16"/>
  </w:num>
  <w:num w:numId="23" w16cid:durableId="1741975993">
    <w:abstractNumId w:val="23"/>
  </w:num>
  <w:num w:numId="24" w16cid:durableId="232813045">
    <w:abstractNumId w:val="4"/>
  </w:num>
  <w:num w:numId="25" w16cid:durableId="2050179314">
    <w:abstractNumId w:val="2"/>
  </w:num>
  <w:num w:numId="26" w16cid:durableId="1870291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07"/>
    <w:rsid w:val="002A53D4"/>
    <w:rsid w:val="00424269"/>
    <w:rsid w:val="004E7207"/>
    <w:rsid w:val="00501C66"/>
    <w:rsid w:val="005B61BF"/>
    <w:rsid w:val="006A4322"/>
    <w:rsid w:val="009E2C40"/>
    <w:rsid w:val="00A14927"/>
    <w:rsid w:val="00A46CB4"/>
    <w:rsid w:val="00D5187E"/>
    <w:rsid w:val="00D95D3C"/>
    <w:rsid w:val="00F7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5341"/>
  <w15:chartTrackingRefBased/>
  <w15:docId w15:val="{1C85FE28-79B1-48C6-8B59-D3F27D51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C66"/>
    <w:pPr>
      <w:spacing w:after="224" w:line="259" w:lineRule="auto"/>
      <w:ind w:left="10" w:hanging="10"/>
      <w:jc w:val="both"/>
    </w:pPr>
    <w:rPr>
      <w:rFonts w:ascii="Times New Roman" w:hAnsi="Times New Roman"/>
      <w:color w:val="1A1A1A"/>
    </w:rPr>
  </w:style>
  <w:style w:type="paragraph" w:styleId="Heading1">
    <w:name w:val="heading 1"/>
    <w:next w:val="Normal"/>
    <w:link w:val="Heading1Char"/>
    <w:uiPriority w:val="9"/>
    <w:qFormat/>
    <w:rsid w:val="00501C66"/>
    <w:pPr>
      <w:keepNext/>
      <w:keepLines/>
      <w:numPr>
        <w:numId w:val="2"/>
      </w:numPr>
      <w:spacing w:after="327" w:line="265" w:lineRule="auto"/>
      <w:outlineLvl w:val="0"/>
    </w:pPr>
    <w:rPr>
      <w:rFonts w:ascii="Times New Roman" w:eastAsia="Times New Roman" w:hAnsi="Times New Roman" w:cs="Times New Roman"/>
      <w:b/>
      <w:color w:val="1A237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rsid w:val="00501C66"/>
    <w:pPr>
      <w:keepNext/>
      <w:keepLines/>
      <w:numPr>
        <w:ilvl w:val="1"/>
        <w:numId w:val="2"/>
      </w:numPr>
      <w:spacing w:after="220" w:line="259" w:lineRule="auto"/>
      <w:outlineLvl w:val="1"/>
    </w:pPr>
    <w:rPr>
      <w:rFonts w:ascii="Times New Roman" w:eastAsia="Times New Roman" w:hAnsi="Times New Roman" w:cs="Times New Roman"/>
      <w:b/>
      <w:color w:val="283593"/>
      <w:sz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2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1C66"/>
    <w:rPr>
      <w:rFonts w:ascii="Times New Roman" w:eastAsia="Times New Roman" w:hAnsi="Times New Roman" w:cs="Times New Roman"/>
      <w:b/>
      <w:color w:val="1A237E"/>
      <w:sz w:val="36"/>
    </w:rPr>
  </w:style>
  <w:style w:type="character" w:customStyle="1" w:styleId="Heading2Char">
    <w:name w:val="Heading 2 Char"/>
    <w:link w:val="Heading2"/>
    <w:uiPriority w:val="9"/>
    <w:rsid w:val="00501C66"/>
    <w:rPr>
      <w:rFonts w:ascii="Times New Roman" w:eastAsia="Times New Roman" w:hAnsi="Times New Roman" w:cs="Times New Roman"/>
      <w:b/>
      <w:color w:val="283593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rsid w:val="004E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0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07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0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0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207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color w:val="auto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2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720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5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D3C"/>
    <w:rPr>
      <w:rFonts w:ascii="Times New Roman" w:hAnsi="Times New Roman"/>
      <w:color w:val="1A1A1A"/>
    </w:rPr>
  </w:style>
  <w:style w:type="paragraph" w:styleId="Footer">
    <w:name w:val="footer"/>
    <w:basedOn w:val="Normal"/>
    <w:link w:val="FooterChar"/>
    <w:uiPriority w:val="99"/>
    <w:unhideWhenUsed/>
    <w:rsid w:val="00D95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D3C"/>
    <w:rPr>
      <w:rFonts w:ascii="Times New Roman" w:hAnsi="Times New Roman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609E6C-4A58-4185-BDCD-99509461AEAC}">
  <we:reference id="wa104380848" version="2.1.0.1" store="en-US" storeType="OMEX"/>
  <we:alternateReferences>
    <we:reference id="WA104380848" version="2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D8F4F-CCB4-4179-9791-49AE34C37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24PWDSC0178</dc:creator>
  <cp:keywords/>
  <dc:description/>
  <cp:lastModifiedBy>Usman Nazir</cp:lastModifiedBy>
  <cp:revision>2</cp:revision>
  <dcterms:created xsi:type="dcterms:W3CDTF">2026-05-21T16:18:00Z</dcterms:created>
  <dcterms:modified xsi:type="dcterms:W3CDTF">2026-05-21T16:29:00Z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7260b987-3892-4ece-b6ae-a9741f599997</vt:lpwstr>
  </property>
</Properties>
</file>