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F2937"/>
          <w:sz w:val="40"/>
          <w:szCs w:val="40"/>
        </w:rPr>
        <w:t xml:space="preserve">AUDIT RESOURCE TRACKER</w:t>
      </w:r>
    </w:p>
    <w:p>
      <w:pPr>
        <w:spacing w:after="60" w:before="0"/>
      </w:pPr>
      <w:r>
        <w:rPr>
          <w:rFonts w:ascii="Arial" w:cs="Arial" w:eastAsia="Arial" w:hAnsi="Arial"/>
          <w:color w:val="4B5563"/>
          <w:sz w:val="28"/>
          <w:szCs w:val="28"/>
        </w:rPr>
        <w:t xml:space="preserve">Streamlit Migration — Living Document</w:t>
      </w:r>
    </w:p>
    <w:p>
      <w:pPr>
        <w:spacing w:after="240" w:before="0"/>
      </w:pPr>
      <w:r>
        <w:rPr>
          <w:rFonts w:ascii="Arial" w:cs="Arial" w:eastAsia="Arial" w:hAnsi="Arial"/>
          <w:i/>
          <w:iCs/>
          <w:color w:val="4B5563"/>
          <w:sz w:val="20"/>
          <w:szCs w:val="20"/>
        </w:rPr>
        <w:t xml:space="preserve">Version 0.3  |  Sprint 0 preparation  |  Personal project</w:t>
      </w:r>
    </w:p>
    <w:p>
      <w:pPr>
        <w:pBdr>
          <w:bottom w:val="single" w:color="B7BBC2" w:sz="6" w:space="1"/>
        </w:pBd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6EDF7" w:val="clear"/>
            <w:tcMar>
              <w:top w:type="dxa" w:w="160"/>
              <w:left w:type="dxa" w:w="200"/>
              <w:bottom w:type="dxa" w:w="160"/>
              <w:right w:type="dxa" w:w="200"/>
            </w:tcMar>
          </w:tcPr>
          <w:p>
            <w:pPr>
              <w:spacing w:after="60" w:before="60" w:line="300"/>
            </w:pPr>
            <w:r>
              <w:rPr>
                <w:rFonts w:ascii="Arial" w:cs="Arial" w:eastAsia="Arial" w:hAnsi="Arial"/>
                <w:b/>
                <w:bCs/>
                <w:color w:val="1F3864"/>
                <w:sz w:val="22"/>
                <w:szCs w:val="22"/>
              </w:rPr>
              <w:t xml:space="preserve">Notice to readers</w:t>
            </w:r>
          </w:p>
          <w:p>
            <w:pPr>
              <w:spacing w:after="60" w:before="60" w:line="300"/>
            </w:pPr>
            <w:r>
              <w:rPr>
                <w:rFonts w:ascii="Arial" w:cs="Arial" w:eastAsia="Arial" w:hAnsi="Arial"/>
                <w:b w:val="false"/>
                <w:bCs w:val="false"/>
                <w:i w:val="false"/>
                <w:iCs w:val="false"/>
                <w:color w:val="1F2937"/>
                <w:sz w:val="20"/>
                <w:szCs w:val="20"/>
              </w:rPr>
              <w:t xml:space="preserve">This tool is a personal project. It contains no client, employer, or agency data, and does not connect to any workplace system.</w:t>
            </w:r>
          </w:p>
          <w:p>
            <w:pPr>
              <w:spacing w:after="60" w:before="60" w:line="300"/>
            </w:pPr>
            <w:r>
              <w:rPr>
                <w:rFonts w:ascii="Arial" w:cs="Arial" w:eastAsia="Arial" w:hAnsi="Arial"/>
                <w:b w:val="false"/>
                <w:bCs w:val="false"/>
                <w:i w:val="false"/>
                <w:iCs w:val="false"/>
                <w:color w:val="1F2937"/>
                <w:sz w:val="20"/>
                <w:szCs w:val="20"/>
              </w:rPr>
              <w:t xml:space="preserve">It does not use, call, or transmit data to any artificial intelligence or large-language-model service. This is a deliberate design choice, described in Section 7.</w:t>
            </w:r>
          </w:p>
          <w:p>
            <w:pPr>
              <w:spacing w:after="60" w:before="60" w:line="300"/>
            </w:pPr>
            <w:r>
              <w:rPr>
                <w:rFonts w:ascii="Arial" w:cs="Arial" w:eastAsia="Arial" w:hAnsi="Arial"/>
                <w:b w:val="false"/>
                <w:bCs w:val="false"/>
                <w:i w:val="false"/>
                <w:iCs w:val="false"/>
                <w:color w:val="1F2937"/>
                <w:sz w:val="20"/>
                <w:szCs w:val="20"/>
              </w:rPr>
              <w:t xml:space="preserve">All resource names are role-based (for example, PM, Auditor 1). No personal names, agency identifiers, or confidential information appear in the code or interface.</w:t>
            </w:r>
          </w:p>
        </w:tc>
      </w:tr>
    </w:tbl>
    <w:p>
      <w:pPr>
        <w:spacing w:after="160" w:before="0"/>
      </w:pPr>
      <w:r>
        <w:t xml:space="preserve"/>
      </w:r>
    </w:p>
    <w:p>
      <w:pPr>
        <w:pStyle w:val="Heading1"/>
        <w:spacing w:after="160" w:before="360"/>
      </w:pPr>
      <w:r>
        <w:rPr>
          <w:rFonts w:ascii="Arial" w:cs="Arial" w:eastAsia="Arial" w:hAnsi="Arial"/>
          <w:b/>
          <w:bCs/>
          <w:color w:val="1F2937"/>
          <w:sz w:val="32"/>
          <w:szCs w:val="32"/>
        </w:rPr>
        <w:t xml:space="preserve">1. Document purpose</w:t>
      </w:r>
    </w:p>
    <w:p>
      <w:pPr>
        <w:spacing w:after="60" w:before="60" w:line="300"/>
      </w:pPr>
      <w:r>
        <w:rPr>
          <w:rFonts w:ascii="Arial" w:cs="Arial" w:eastAsia="Arial" w:hAnsi="Arial"/>
          <w:b w:val="false"/>
          <w:bCs w:val="false"/>
          <w:i w:val="false"/>
          <w:iCs w:val="false"/>
          <w:color w:val="1F2937"/>
          <w:sz w:val="22"/>
          <w:szCs w:val="22"/>
        </w:rPr>
        <w:t xml:space="preserve">This is the single source of truth for the Audit Resource Tracker migration from Excel to a Streamlit web application. It is updated at the end of each sprint and between sprints when scoping decisions change. Sections 2 through 4 establish the fixed context. Section 5 onward changes as the project progresses.</w:t>
      </w:r>
    </w:p>
    <w:p>
      <w:pPr>
        <w:spacing w:after="60" w:before="60" w:line="300"/>
      </w:pPr>
      <w:r>
        <w:rPr>
          <w:rFonts w:ascii="Arial" w:cs="Arial" w:eastAsia="Arial" w:hAnsi="Arial"/>
          <w:b w:val="false"/>
          <w:bCs w:val="false"/>
          <w:i w:val="false"/>
          <w:iCs w:val="false"/>
          <w:color w:val="1F2937"/>
          <w:sz w:val="22"/>
          <w:szCs w:val="22"/>
        </w:rPr>
        <w:t xml:space="preserve">The document is structured so that an auditor, engineering peer, or hiring manager can read any single section in isolation and understand what decisions were made and why.</w:t>
      </w:r>
    </w:p>
    <w:p>
      <w:pPr>
        <w:pStyle w:val="Heading1"/>
        <w:spacing w:after="160" w:before="360"/>
      </w:pPr>
      <w:r>
        <w:rPr>
          <w:rFonts w:ascii="Arial" w:cs="Arial" w:eastAsia="Arial" w:hAnsi="Arial"/>
          <w:b/>
          <w:bCs/>
          <w:color w:val="1F2937"/>
          <w:sz w:val="32"/>
          <w:szCs w:val="32"/>
        </w:rPr>
        <w:t xml:space="preserve">2. Product vision</w:t>
      </w:r>
    </w:p>
    <w:p>
      <w:pPr>
        <w:spacing w:after="60" w:before="60" w:line="300"/>
      </w:pPr>
      <w:r>
        <w:rPr>
          <w:rFonts w:ascii="Arial" w:cs="Arial" w:eastAsia="Arial" w:hAnsi="Arial"/>
          <w:b w:val="false"/>
          <w:bCs w:val="false"/>
          <w:i w:val="false"/>
          <w:iCs w:val="false"/>
          <w:color w:val="1F2937"/>
          <w:sz w:val="22"/>
          <w:szCs w:val="22"/>
        </w:rPr>
        <w:t xml:space="preserve">Replace a macro-enabled Excel workbook with a browser-based planning tool that preserves the same audit planning logic while eliminating the barriers that the Excel version imposes: platform lock-in (Windows Excel with macros enabled), file-sharing friction, and the visual limits of a spreadsheet grid.</w:t>
      </w:r>
    </w:p>
    <w:p>
      <w:pPr>
        <w:spacing w:after="60" w:before="60" w:line="300"/>
      </w:pPr>
      <w:r>
        <w:rPr>
          <w:rFonts w:ascii="Arial" w:cs="Arial" w:eastAsia="Arial" w:hAnsi="Arial"/>
          <w:b w:val="false"/>
          <w:bCs w:val="false"/>
          <w:i w:val="false"/>
          <w:iCs w:val="false"/>
          <w:color w:val="1F2937"/>
          <w:sz w:val="22"/>
          <w:szCs w:val="22"/>
        </w:rPr>
        <w:t xml:space="preserve">The tool helps a small number of practitioners — an audit manager planning engagements — configure an audit, visualize its timeline, allocate resources across roles, and produce a budget. It is not a collaboration platform, not a workflow system, and not a record of truth for hours worked. It is a planning calculator with a clear, auditable output.</w:t>
      </w:r>
    </w:p>
    <w:p>
      <w:pPr>
        <w:pStyle w:val="Heading1"/>
        <w:spacing w:after="160" w:before="360"/>
      </w:pPr>
      <w:r>
        <w:rPr>
          <w:rFonts w:ascii="Arial" w:cs="Arial" w:eastAsia="Arial" w:hAnsi="Arial"/>
          <w:b/>
          <w:bCs/>
          <w:color w:val="1F2937"/>
          <w:sz w:val="32"/>
          <w:szCs w:val="32"/>
        </w:rPr>
        <w:t xml:space="preserve">3. Audience and success criteria</w:t>
      </w:r>
    </w:p>
    <w:p>
      <w:pPr>
        <w:pStyle w:val="Heading3"/>
        <w:spacing w:after="80" w:before="220"/>
      </w:pPr>
      <w:r>
        <w:rPr>
          <w:rFonts w:ascii="Arial" w:cs="Arial" w:eastAsia="Arial" w:hAnsi="Arial"/>
          <w:b/>
          <w:bCs/>
          <w:color w:val="1F2937"/>
          <w:sz w:val="22"/>
          <w:szCs w:val="22"/>
        </w:rPr>
        <w:t xml:space="preserve">3.1 Primary audience</w:t>
      </w:r>
    </w:p>
    <w:p>
      <w:pPr>
        <w:spacing w:after="60" w:before="60" w:line="300"/>
      </w:pPr>
      <w:r>
        <w:rPr>
          <w:rFonts w:ascii="Arial" w:cs="Arial" w:eastAsia="Arial" w:hAnsi="Arial"/>
          <w:b w:val="false"/>
          <w:bCs w:val="false"/>
          <w:i w:val="false"/>
          <w:iCs w:val="false"/>
          <w:color w:val="1F2937"/>
          <w:sz w:val="22"/>
          <w:szCs w:val="22"/>
        </w:rPr>
        <w:t xml:space="preserve">Audit practitioners — audit managers and senior auditors — who plan engagements and need a faster, cleaner alternative to the Excel workbook. Usability for this audience takes precedence over every other consideration except confidentiality.</w:t>
      </w:r>
    </w:p>
    <w:p>
      <w:pPr>
        <w:pStyle w:val="Heading3"/>
        <w:spacing w:after="80" w:before="220"/>
      </w:pPr>
      <w:r>
        <w:rPr>
          <w:rFonts w:ascii="Arial" w:cs="Arial" w:eastAsia="Arial" w:hAnsi="Arial"/>
          <w:b/>
          <w:bCs/>
          <w:color w:val="1F2937"/>
          <w:sz w:val="22"/>
          <w:szCs w:val="22"/>
        </w:rPr>
        <w:t xml:space="preserve">3.2 Secondary audience</w:t>
      </w:r>
    </w:p>
    <w:p>
      <w:pPr>
        <w:spacing w:after="60" w:before="60" w:line="300"/>
      </w:pPr>
      <w:r>
        <w:rPr>
          <w:rFonts w:ascii="Arial" w:cs="Arial" w:eastAsia="Arial" w:hAnsi="Arial"/>
          <w:b w:val="false"/>
          <w:bCs w:val="false"/>
          <w:i w:val="false"/>
          <w:iCs w:val="false"/>
          <w:color w:val="1F2937"/>
          <w:sz w:val="22"/>
          <w:szCs w:val="22"/>
        </w:rPr>
        <w:t xml:space="preserve">Hiring managers, technical interviewers, and professional peers reviewing the project as portfolio evidence. They are not the primary user, but the project is publicly visible and must hold up to professional scrutiny.</w:t>
      </w:r>
    </w:p>
    <w:p>
      <w:pPr>
        <w:pStyle w:val="Heading3"/>
        <w:spacing w:after="80" w:before="220"/>
      </w:pPr>
      <w:r>
        <w:rPr>
          <w:rFonts w:ascii="Arial" w:cs="Arial" w:eastAsia="Arial" w:hAnsi="Arial"/>
          <w:b/>
          <w:bCs/>
          <w:color w:val="1F2937"/>
          <w:sz w:val="22"/>
          <w:szCs w:val="22"/>
        </w:rPr>
        <w:t xml:space="preserve">3.3 Success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practitioner can configure a full audit (kickoff, phase weeks, resources, tasks) in under five minutes without referring to documentation.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generated Excel file passes visual inspection against the v4 workbook — same tabs, same formulas, same milestone logic, no regressions.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application runs on Microsoft Edge inside a standard Microsoft 365 environment without browser warnings or compatibility errors.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project is presentable as a portfolio artifact: a single URL, a clean README, a demo mode that works without any input, and documented governance decisions.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Every privacy control listed in Section 6 has a documented test procedure and a pass result.</w:t>
      </w:r>
    </w:p>
    <w:p>
      <w:pPr>
        <w:pStyle w:val="Heading1"/>
        <w:spacing w:after="160" w:before="360"/>
      </w:pPr>
      <w:r>
        <w:rPr>
          <w:rFonts w:ascii="Arial" w:cs="Arial" w:eastAsia="Arial" w:hAnsi="Arial"/>
          <w:b/>
          <w:bCs/>
          <w:color w:val="1F2937"/>
          <w:sz w:val="32"/>
          <w:szCs w:val="32"/>
        </w:rPr>
        <w:t xml:space="preserve">4. Architecture decisions</w:t>
      </w:r>
    </w:p>
    <w:p>
      <w:pPr>
        <w:spacing w:after="60" w:before="60" w:line="300"/>
      </w:pPr>
      <w:r>
        <w:rPr>
          <w:rFonts w:ascii="Arial" w:cs="Arial" w:eastAsia="Arial" w:hAnsi="Arial"/>
          <w:b w:val="false"/>
          <w:bCs w:val="false"/>
          <w:i w:val="false"/>
          <w:iCs w:val="false"/>
          <w:color w:val="1F2937"/>
          <w:sz w:val="22"/>
          <w:szCs w:val="22"/>
        </w:rPr>
        <w:t xml:space="preserve">Decisions are recorded chronologically. Each is immutable once accepted — superseding decisions reference the original by number.</w:t>
      </w:r>
    </w:p>
    <w:p>
      <w:pPr>
        <w:pStyle w:val="Heading3"/>
        <w:spacing w:after="80" w:before="220"/>
      </w:pPr>
      <w:r>
        <w:rPr>
          <w:rFonts w:ascii="Arial" w:cs="Arial" w:eastAsia="Arial" w:hAnsi="Arial"/>
          <w:b/>
          <w:bCs/>
          <w:color w:val="1F2937"/>
          <w:sz w:val="22"/>
          <w:szCs w:val="22"/>
        </w:rPr>
        <w:t xml:space="preserve">ADR-001  Browser-native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 the Excel formula logic into Python so that calculations happen in the browser via Streamlit. The Excel download is an export artifact, not the calculation engine.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Higher Sprint 2 effort than a pure Excel generator. Creates a formula-parity testing obligation.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Excel-generator model (user fills a form, downloads a fully-formula'd workbook). Rejected because it does not demonstrate the analytical and engineering capability the portfolio is meant to evidence.</w:t>
            </w:r>
          </w:p>
        </w:tc>
      </w:tr>
    </w:tbl>
    <w:p>
      <w:pPr>
        <w:pStyle w:val="Heading3"/>
        <w:spacing w:after="80" w:before="220"/>
      </w:pPr>
      <w:r>
        <w:rPr>
          <w:rFonts w:ascii="Arial" w:cs="Arial" w:eastAsia="Arial" w:hAnsi="Arial"/>
          <w:b/>
          <w:bCs/>
          <w:color w:val="1F2937"/>
          <w:sz w:val="22"/>
          <w:szCs w:val="22"/>
        </w:rPr>
        <w:t xml:space="preserve">ADR-002  Audience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Practitioner usability is the primary optimization target. Portfolio value is secondary and must not conflict with it.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Visual design, input grouping, and error prevention take precedence over showcase features.</w:t>
            </w:r>
          </w:p>
        </w:tc>
      </w:tr>
    </w:tbl>
    <w:p>
      <w:pPr>
        <w:pStyle w:val="Heading3"/>
        <w:spacing w:after="80" w:before="220"/>
      </w:pPr>
      <w:r>
        <w:rPr>
          <w:rFonts w:ascii="Arial" w:cs="Arial" w:eastAsia="Arial" w:hAnsi="Arial"/>
          <w:b/>
          <w:bCs/>
          <w:color w:val="1F2937"/>
          <w:sz w:val="22"/>
          <w:szCs w:val="22"/>
        </w:rPr>
        <w:t xml:space="preserve">ADR-003  No AI or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tool does not call any AI or LLM service at runtime, at build time, or in any support path. No embeddings, no autocomplete, no generated text, no analytics, no retrieval.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Removes a category of confidentiality risk. Removes a feature set that would otherwise be expected of a modern tool. This absence is itself documented as a governance artifact (Section 7).</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Optional Claude API for task-name suggestions. Rejected because author's workplace is AI-hesitant and because the absence of AI is a clearer governance demonstration than its presence.</w:t>
            </w:r>
          </w:p>
        </w:tc>
      </w:tr>
    </w:tbl>
    <w:p>
      <w:pPr>
        <w:pStyle w:val="Heading3"/>
        <w:spacing w:after="80" w:before="220"/>
      </w:pPr>
      <w:r>
        <w:rPr>
          <w:rFonts w:ascii="Arial" w:cs="Arial" w:eastAsia="Arial" w:hAnsi="Arial"/>
          <w:b/>
          <w:bCs/>
          <w:color w:val="1F2937"/>
          <w:sz w:val="22"/>
          <w:szCs w:val="22"/>
        </w:rPr>
        <w:t xml:space="preserve">ADR-004  Stateless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 (v1)</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server-side persistence. No database. No user accounts. Every session begins empty. Inputs live in Streamlit session state only and are discarded when the browser tab closes.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Mid-audit edits require the user to re-enter inputs. Eliminates an entire category of privacy and security concerns.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Revisit 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Users request saved audits AND a reviewed privacy model exists.</w:t>
            </w:r>
          </w:p>
        </w:tc>
      </w:tr>
    </w:tbl>
    <w:p>
      <w:pPr>
        <w:pStyle w:val="Heading3"/>
        <w:spacing w:after="80" w:before="220"/>
      </w:pPr>
      <w:r>
        <w:rPr>
          <w:rFonts w:ascii="Arial" w:cs="Arial" w:eastAsia="Arial" w:hAnsi="Arial"/>
          <w:b/>
          <w:bCs/>
          <w:color w:val="1F2937"/>
          <w:sz w:val="22"/>
          <w:szCs w:val="22"/>
        </w:rPr>
        <w:t xml:space="preserve">ADR-005  Demo mode via pre-filled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Provide three pre-filled, fully synthetic audit scenarios that the user can load with one click. These replace the need for state persistence in the demo context.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Allows a hiring manager to see a realistic, populated workbook in under thirty seconds without entering any data.</w:t>
            </w:r>
          </w:p>
        </w:tc>
      </w:tr>
    </w:tbl>
    <w:p>
      <w:pPr>
        <w:pStyle w:val="Heading3"/>
        <w:spacing w:after="80" w:before="220"/>
      </w:pPr>
      <w:r>
        <w:rPr>
          <w:rFonts w:ascii="Arial" w:cs="Arial" w:eastAsia="Arial" w:hAnsi="Arial"/>
          <w:b/>
          <w:bCs/>
          <w:color w:val="1F2937"/>
          <w:sz w:val="22"/>
          <w:szCs w:val="22"/>
        </w:rPr>
        <w:t xml:space="preserve">ADR-006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single shared password stored in Streamlit Secrets, validated with hmac.compare_digest. This protects the code and interface from casual public access; it does not attempt to identify users or prevent sharing.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Not suitable for multi-user access control. Appropriate for the stated concern (protecting the UI and code, not preventing authorized users from sharing).</w:t>
            </w:r>
          </w:p>
        </w:tc>
      </w:tr>
    </w:tbl>
    <w:p>
      <w:pPr>
        <w:pStyle w:val="Heading3"/>
        <w:spacing w:after="80" w:before="220"/>
      </w:pPr>
      <w:r>
        <w:rPr>
          <w:rFonts w:ascii="Arial" w:cs="Arial" w:eastAsia="Arial" w:hAnsi="Arial"/>
          <w:b/>
          <w:bCs/>
          <w:color w:val="1F2937"/>
          <w:sz w:val="22"/>
          <w:szCs w:val="22"/>
        </w:rPr>
        <w:t xml:space="preserve">ADR-007  Target browser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Microsoft Edge on Microsoft 365 is the target environment. The tool must render correctly and behave correctly in Edge. Other browsers are not tested.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Simplifies testing matrix. Documents the known limitation.</w:t>
            </w:r>
          </w:p>
        </w:tc>
      </w:tr>
    </w:tbl>
    <w:p>
      <w:pPr>
        <w:pStyle w:val="Heading3"/>
        <w:spacing w:after="80" w:before="220"/>
      </w:pPr>
      <w:r>
        <w:rPr>
          <w:rFonts w:ascii="Arial" w:cs="Arial" w:eastAsia="Arial" w:hAnsi="Arial"/>
          <w:b/>
          <w:bCs/>
          <w:color w:val="1F2937"/>
          <w:sz w:val="22"/>
          <w:szCs w:val="22"/>
        </w:rPr>
        <w:t xml:space="preserve">ADR-008  Unit tests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calculation functions are covered by unit tests. Excel-output fidelity is covered by integration tests that diff against a known-good workbook.</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Adds measurable effort but is the core evidence of engineering discipline for a governance-focused portfolio.</w:t>
            </w:r>
          </w:p>
        </w:tc>
      </w:tr>
    </w:tbl>
    <w:p>
      <w:pPr>
        <w:pStyle w:val="Heading3"/>
        <w:spacing w:after="80" w:before="220"/>
      </w:pPr>
      <w:r>
        <w:rPr>
          <w:rFonts w:ascii="Arial" w:cs="Arial" w:eastAsia="Arial" w:hAnsi="Arial"/>
          <w:b/>
          <w:bCs/>
          <w:color w:val="1F2937"/>
          <w:sz w:val="22"/>
          <w:szCs w:val="22"/>
        </w:rPr>
        <w:t xml:space="preserve">ADR-009  Kickoff-date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dates are validated and handled in five distinct cases, listed below. In all cases, the user is informed in a persistent inline notice next to the kickoff field; one case additionally interrupts with a confirm-before-proceed dialog.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1 — full-closure holiday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Interrupt with a confirm-before-proceed dialog. Walk forward one weekday at a time until an open day is found. The dialog shows the proposed adjusted date and the rationale. User must confirm or cancel.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2 — skeleton-crew 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inline warning that the date falls on a skeleton-crew day. No auto-shift. This matches Excel behavior where skeleton days count as working days for milestone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3 — Friday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inline warning only. Matches existing Excel behavior (cell E5).</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4 — more than 1 year in the past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as a hard cap. Inform the user explicitly that a 1-year look-back is the maximum. User must enter a date within the allowed range before the form can proceed.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5 — within 1 year past (and not covered by Case 1-3)</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informational notice asking whether a past-dated kickoff is intentional. Not a warning — an informational prompt.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shift function is deterministic and testable. The behavior is the same rule applied consistently, not a cascade of exceptions. The 1-year past cap is symmetric with a data-freshness expectation: kickoffs older than one year fall outside the holiday dataset the tool maintains.</w:t>
            </w:r>
          </w:p>
        </w:tc>
      </w:tr>
    </w:tbl>
    <w:p>
      <w:pPr>
        <w:pStyle w:val="Heading3"/>
        <w:spacing w:after="80" w:before="220"/>
      </w:pPr>
      <w:r>
        <w:rPr>
          <w:rFonts w:ascii="Arial" w:cs="Arial" w:eastAsia="Arial" w:hAnsi="Arial"/>
          <w:b/>
          <w:bCs/>
          <w:color w:val="1F2937"/>
          <w:sz w:val="22"/>
          <w:szCs w:val="22"/>
        </w:rPr>
        <w:t xml:space="preserve">ADR-010  Phase-week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Minimum</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week per phase. Zero-week phases are rejected at input. A valid audit is therefore at least 3 weeks total.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Maximum</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52 weeks total across all three phases. Validation occurs at the phase-weeks layer, not at kickoff, because the limit is a duration limit. Rejects at input.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Holiday data dependency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52-week cap is tied to the holiday dataset coverage. The tool must accept user-uploaded holiday and skeleton-day calendars to remain current beyond FY2027 (see feature F-03, now in scope for a future sprint).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Hard validation at entry. The user cannot generate a workbook with an invalid phase configuration. Replaces the Excel behavior of silently accepting invalid inputs and producing broken date math.</w:t>
            </w:r>
          </w:p>
        </w:tc>
      </w:tr>
    </w:tbl>
    <w:p>
      <w:pPr>
        <w:pStyle w:val="Heading3"/>
        <w:spacing w:after="80" w:before="220"/>
      </w:pPr>
      <w:r>
        <w:rPr>
          <w:rFonts w:ascii="Arial" w:cs="Arial" w:eastAsia="Arial" w:hAnsi="Arial"/>
          <w:b/>
          <w:bCs/>
          <w:color w:val="1F2937"/>
          <w:sz w:val="22"/>
          <w:szCs w:val="22"/>
        </w:rPr>
        <w:t xml:space="preserve">ADR-011  Leave-exceeds-availability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When entered leave hours plus deductions would drive Total Available Hours below zero, the calculation floors at zero (matching Excel behavior) and an inline warning appears on the affected row: 'Leave exceeds availability; available hours capped at 0.' Does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Preserves existing Excel calculation logic while adding transparency. Does not penalize intentional over-allocation of leave.</w:t>
            </w:r>
          </w:p>
        </w:tc>
      </w:tr>
    </w:tbl>
    <w:p>
      <w:pPr>
        <w:pStyle w:val="Heading3"/>
        <w:spacing w:after="80" w:before="220"/>
      </w:pPr>
      <w:r>
        <w:rPr>
          <w:rFonts w:ascii="Arial" w:cs="Arial" w:eastAsia="Arial" w:hAnsi="Arial"/>
          <w:b/>
          <w:bCs/>
          <w:color w:val="1F2937"/>
          <w:sz w:val="22"/>
          <w:szCs w:val="22"/>
        </w:rPr>
        <w:t xml:space="preserve">ADR-012  Per-milestone configurable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Replace the fixed two-tier warning system (hardcoded 7-calendar-day and 14-calendar-day offsets) with per-milestone user-configurable warning windows. Each of the eight warning-enabled milestones has its own editable warning lead-time value, expressed in workdays.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Scope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Eight milestones receive warnings: Kickoff, End of Planning, Outline to Exec, On-Target Meeting, Draft to Exec, Exit Conference, Management Responses Due, Report Release. The five release-week milestones (Final Draft, Exec Approves, PM/AM Review, Editors Setup) remain omitted from warning displays because they cluster in the same calendar week and would produce redundant notices.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Calculation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Warning dates are computed using workday arithmetic via Excel WORKDAY function with the full-closure holiday range. Weekends and full-closure holidays are skipped. Skeleton-crew days count as working days (consistent with the tool's existing business-day conventions).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Minimum allowed value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 workdays. Values below 3 are rejected at input with a clear message. The minimum exists to prevent degenerate configurations (0-day warning = same week as milestone = no advance notice).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Maximum allowed value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 enforced at this time. A value greater than the available time between audit start and the milestone produces a warning date before the audit begins; this is acceptable and the warning simply never fires.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Display label format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 [MILESTONE NAME] ([N] wd) — for example, '⚠ ON-TARGET (10 wd)'. The workday count is always shown so users can verify the firing window at a glance.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Milestone-week overlap</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Allowed. A user who sets a short warning (3-4 workdays) may see the warning fire in the same calendar week as the milestone itself. This is a consequence of the user's chosen window and is not considered a defect.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Defaults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5 wd. End of Planning: 5 wd. Outline to Exec: 3 wd. On-Target Meeting: 10 wd. Draft to Exec: 10 wd. Exit Conference: 5 wd. Management Responses Due: 5 wd. Report Release: 10 wd.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Excel implementation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new input table is added to the Audit Setup tab between the existing milestone calendar and the VBA instructions block. Eight blue input cells accept user-configured warning values. Formulas on the MBDD tab, Resource tabs, and Audit Timeline tab reference these cells via absolute references and use the WORKDAY function for date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Streamlit implementation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UI surfaces the same eight milestones as a small editable table with numeric inputs. Defaults pre-populated. Validation rejects values below 3. The Excel download includes the same input table on the Audit Setup tab, preserving round-trip compatibility.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 — removed 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current two-tier warning system (1-week plus 2-week warnings for On-Target, Draft, Release) is eliminated. Each milestone now produces one warning per audit at the user's configured offset. Users who want multiple warnings per milestone must use external calendar reminders (noted as potential future feature F-08).</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 — formula count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Workbook formula count increases from approximately 6,574 to approximately 7,200. Not expected to affect performance materially. Verified in Sprint 2 during the golden-file test.</w:t>
            </w:r>
          </w:p>
        </w:tc>
      </w:tr>
    </w:tbl>
    <w:p>
      <w:pPr>
        <w:pStyle w:val="Heading1"/>
        <w:spacing w:after="160" w:before="360"/>
      </w:pPr>
      <w:r>
        <w:rPr>
          <w:rFonts w:ascii="Arial" w:cs="Arial" w:eastAsia="Arial" w:hAnsi="Arial"/>
          <w:b/>
          <w:bCs/>
          <w:color w:val="1F2937"/>
          <w:sz w:val="32"/>
          <w:szCs w:val="32"/>
        </w:rPr>
        <w:t xml:space="preserve">5. Sprint plan</w:t>
      </w:r>
    </w:p>
    <w:p>
      <w:pPr>
        <w:spacing w:after="60" w:before="60" w:line="300"/>
      </w:pPr>
      <w:r>
        <w:rPr>
          <w:rFonts w:ascii="Arial" w:cs="Arial" w:eastAsia="Arial" w:hAnsi="Arial"/>
          <w:b w:val="false"/>
          <w:bCs w:val="false"/>
          <w:i w:val="false"/>
          <w:iCs w:val="false"/>
          <w:color w:val="1F2937"/>
          <w:sz w:val="22"/>
          <w:szCs w:val="22"/>
        </w:rPr>
        <w:t xml:space="preserve">The original specification proposed six phases in a largely waterfall order. The plan below reorganizes that work around a walking-skeleton approach: a minimal end-to-end version exists by the end of Sprint 1, and every subsequent sprint adds one coherent layer on top of a working system.</w:t>
      </w:r>
    </w:p>
    <w:p>
      <w:pPr>
        <w:spacing w:after="60" w:before="60" w:line="300"/>
      </w:pPr>
      <w:r>
        <w:rPr>
          <w:rFonts w:ascii="Arial" w:cs="Arial" w:eastAsia="Arial" w:hAnsi="Arial"/>
          <w:b w:val="false"/>
          <w:bCs w:val="false"/>
          <w:i w:val="false"/>
          <w:iCs w:val="false"/>
          <w:color w:val="1F2937"/>
          <w:sz w:val="22"/>
          <w:szCs w:val="22"/>
        </w:rPr>
        <w:t xml:space="preserve">No sprint begins without written approval. Each sprint ends with an update to this document and a commit tagged with the sprint number.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5160"/>
        <w:gridCol w:w="1600"/>
      </w:tblGrid>
      <w:tr>
        <w:trPr>
          <w:tblHeader/>
        </w:trPr>
        <w:tc>
          <w:tcPr>
            <w:tcW w:type="dxa" w:w="5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1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Sprint</w:t>
            </w:r>
          </w:p>
        </w:tc>
        <w:tc>
          <w:tcPr>
            <w:tcW w:type="dxa" w:w="51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Objective</w:t>
            </w:r>
          </w:p>
        </w:tc>
        <w:tc>
          <w:tcPr>
            <w:tcW w:type="dxa" w:w="1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Duration</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Foundation</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Governance, repo, environment</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0.5 day</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Walking skeleton</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Generate a minimal valid workbook end-to-end</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day</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Faithful refactor</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Full fidelity to the v4 workbook</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Browser-native calculation</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 formulas to Python; live preview</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4</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UX and input architecture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Visual polish, input grouping, validation</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Privacy and controls</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Auditable control set with test procedures</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day</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Portfolio package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demo, deploy, rollback assets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1–1.5 days</w:t>
            </w:r>
          </w:p>
        </w:tc>
      </w:tr>
    </w:tbl>
    <w:p>
      <w:pPr>
        <w:spacing w:after="120" w:before="0"/>
      </w:pPr>
      <w:r>
        <w:t xml:space="preserve"/>
      </w:r>
    </w:p>
    <w:p>
      <w:pPr>
        <w:pStyle w:val="Heading2"/>
        <w:spacing w:after="120" w:before="280"/>
      </w:pPr>
      <w:r>
        <w:rPr>
          <w:rFonts w:ascii="Arial" w:cs="Arial" w:eastAsia="Arial" w:hAnsi="Arial"/>
          <w:b/>
          <w:bCs/>
          <w:color w:val="1F2937"/>
          <w:sz w:val="26"/>
          <w:szCs w:val="26"/>
        </w:rPr>
        <w:t xml:space="preserve">Sprint 0  Foundation</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Establish the governance and technical scaffolding so that Sprint 1 can focus on code rather than setup. No application code is written.</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public GitHub repository named audit-tracker. Add a permissive license, a .gitignore that excludes .streamlit/secrets.toml, and an initial README with the transparency statement from Section 7.</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Streamlit Community Cloud account linked to the GitHub repository. Do not deploy yet.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Initialize the local Python environment (Python 3.11+ recommended) with a virtual environment. Pin Streamlit, openpyxl, and pytest versions in requirements.txt.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Commit this living document to the repository as docs/living-document.md or docs/living-document.docx.</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Commit an empty risk register and an empty control set as placeholders to be filled in later sprints.</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repository exists, is public, and contains the living document and an initial README.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local environment can import streamlit and openpyxl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 is linked to the repository.</w:t>
      </w:r>
    </w:p>
    <w:p>
      <w:pPr>
        <w:pStyle w:val="Heading2"/>
        <w:spacing w:after="120" w:before="280"/>
      </w:pPr>
      <w:r>
        <w:rPr>
          <w:rFonts w:ascii="Arial" w:cs="Arial" w:eastAsia="Arial" w:hAnsi="Arial"/>
          <w:b/>
          <w:bCs/>
          <w:color w:val="1F2937"/>
          <w:sz w:val="26"/>
          <w:szCs w:val="26"/>
        </w:rPr>
        <w:t xml:space="preserve">Sprint 1  Walking skeleton</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Prove the end-to-end path works: the user opens the web application, enters a kickoff date and three phase-week values, clicks a button, and downloads a minimal Excel file. The file is not feature-complete. Only the Audit Setup tab and one resource tab are built. Styling is minimal. Validation is minimal.</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single app.py with a simple form and a generate button.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single builder.py that writes a workbook with only the Audit Setup tab and one resource tab. Borrow the relevant sections from build_v4.py; do not refactor yet.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Wire the generate button to return the workbook as a download via st.download_button.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Deploy to Streamlit Cloud and confirm the download works from Edge.</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deployed URL loads in Edge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user can generate and download a valid .xlsx file containing at least the Audit Setup and one resource tab.</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downloaded file opens in Excel without repair prompts.</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Cloud's Python version may differ from the local environment. Mitigation: pin the Python version in a runtime.txt file.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Large openpyxl files may exceed Streamlit's default upload size or session memory. Mitigation: generate to an in-memory BytesIO object, not a temp file.</w:t>
      </w:r>
    </w:p>
    <w:p>
      <w:pPr>
        <w:pStyle w:val="Heading2"/>
        <w:spacing w:after="120" w:before="280"/>
      </w:pPr>
      <w:r>
        <w:rPr>
          <w:rFonts w:ascii="Arial" w:cs="Arial" w:eastAsia="Arial" w:hAnsi="Arial"/>
          <w:b/>
          <w:bCs/>
          <w:color w:val="1F2937"/>
          <w:sz w:val="26"/>
          <w:szCs w:val="26"/>
        </w:rPr>
        <w:t xml:space="preserve">Sprint 2  Faithful refactor</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Achieve full fidelity with the v4 workbook. Every tab, every formula, every conditional format from build_v4.py and add_timeline.py exists and matches when generated through the web UI.</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Decompose build_v4.py into the module structure described in the original specification (holidays_tab.py, setup_tab.py, resource_tab.py, mbdd_tab.py, bbt_tab.py).</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Port add_timeline.py into builder/timeline_tab.py.</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an integration test that generates a workbook with a known input and diffs it against a committed golden-file copy of the current v4 workbook. Any structural difference is a failure.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Extract all layout constants (PLAN_S, FIELD_S, MBDD_* and so on) into a single builder/constants.py module. This is the place the v4 specification names as the single source of truth.</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generated workbook has 14 tabs in the correct order with the correct tab colors.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golden-file integration test passes.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Opening the generated workbook in Excel shows no #REF or #NAME errors on any tab.</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VBA macros cannot be written from openpyxl in the same way they are authored in Excel. The workbook must remain .xlsm-capable by preserving the VBA project from a template; openpyxl can load a .xlsm and write back to it. Mitigation: keep a baseline .xlsm template with the VBA embedded, and generate into it rather than from scratch. This is called out explicitly because it is a known openpyxl limitation.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golden-file diff test is fragile — any whitespace or ordering change fails it. Mitigation: the diff runs at the level of parsed cell values and styles, not raw XML bytes.</w:t>
      </w:r>
    </w:p>
    <w:p>
      <w:pPr>
        <w:pStyle w:val="Heading2"/>
        <w:spacing w:after="120" w:before="280"/>
      </w:pPr>
      <w:r>
        <w:rPr>
          <w:rFonts w:ascii="Arial" w:cs="Arial" w:eastAsia="Arial" w:hAnsi="Arial"/>
          <w:b/>
          <w:bCs/>
          <w:color w:val="1F2937"/>
          <w:sz w:val="26"/>
          <w:szCs w:val="26"/>
        </w:rPr>
        <w:t xml:space="preserve">Sprint 3  Browser-native calculation</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Compute every value that is visible to the user in Python so the UI can display a live timeline, live budget, and live milestone calendar without requiring the user to download a workbook.</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builder/calculations.py with pure functions that take inputs (kickoff date, phase weeks, buffer) and return structured outputs (milestone dates, phase boundaries, per-week allocations).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input validators per Section 13 (Edge-case handling). Each of the ten edge cases there is a test case the validator must pass.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Unit test every calculation against known inputs and outputs. These tests are the calculation's specification.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Run the same input through the Python calculator and through the Excel workbook. Every value must match to the cent and to the day. This is the 'parity test' and it is non-optional.</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Display calculated results in Streamlit as tables and a minimal Gantt chart. The user sees the audit before downloading it.</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Parity test passes for at least ten distinct input scenarios, including edge cases (Friday kickoff, fieldwork crossing a fiscal-year boundary, maximum phase weeks, and — per ADR-012 — multiple distinct warning-window configurations per milestone, including warnings that cross multi-day closure clusters).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Unit test coverage of calculations.py is 100 percent of public functions.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UI shows a live preview that updates within 500ms of any input change.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Per-milestone warning configuration (ADR-012) is fully operational: users can edit any of the eight values, minimum-value validation rejects values below 3 workdays, and warning dates are computed via workday arithmetic.</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Excel's WORKDAY function and Python's equivalent may disagree at fiscal-year boundaries or on skeleton-crew days. Mitigation: write the Python version to replicate Excel's behavior, not NumPy's or Pandas' defaults.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Live preview latency on Streamlit Cloud may be noticeably slower than local. Mitigation: benchmark early and accept a larger debounce if needed.</w:t>
      </w:r>
    </w:p>
    <w:p>
      <w:pPr>
        <w:pStyle w:val="Heading2"/>
        <w:spacing w:after="120" w:before="280"/>
      </w:pPr>
      <w:r>
        <w:rPr>
          <w:rFonts w:ascii="Arial" w:cs="Arial" w:eastAsia="Arial" w:hAnsi="Arial"/>
          <w:b/>
          <w:bCs/>
          <w:color w:val="1F2937"/>
          <w:sz w:val="26"/>
          <w:szCs w:val="26"/>
        </w:rPr>
        <w:t xml:space="preserve">Sprint 4  UX and input architecture</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Take the working but ugly application and make it genuinely easy to use and visually credible. This is the sprint that carries the most weight for the portfolio audience.</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Group inputs into three logical sections that mirror the audit lifecycle: 'Audit basics' (kickoff, type, resources), 'Phase structure' (weeks per phase, on-target buffer), and 'Tasks and hours' (per-resource entries).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Replace the generate button with a split-pane layout: inputs on the left, live calculated preview on the right. Download button at the top-right of the preview pane.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Add inline validation messages, not modal alerts. Every warning visible in the Excel (Friday kickoff, short writing window, Fieldwork ceiling overrun) appears inline next to the offending input.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the 'Load demo scenario' affordance with three synthetic audits described in the data section of the repository.</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first-time user can generate a complete audit in under five minutes without external instruction.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validation messages are visible inline. No modal dialogs.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Loading a demo scenario populates every input and immediately updates the preview.</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Streamlit's layout primitives are more constrained than a typical React application. Some UX patterns (accordion, tabs, sticky panels) require workarounds. Mitigation: accept Streamlit-native patterns; do not fight the framework.</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'influencer' DISC bias toward vivid, expressive design may conflict with the quieter aesthetic that a governance audience expects. Mitigation: default to restraint; add color only where it encodes meaning.</w:t>
      </w:r>
    </w:p>
    <w:p>
      <w:pPr>
        <w:pStyle w:val="Heading2"/>
        <w:spacing w:after="120" w:before="280"/>
      </w:pPr>
      <w:r>
        <w:rPr>
          <w:rFonts w:ascii="Arial" w:cs="Arial" w:eastAsia="Arial" w:hAnsi="Arial"/>
          <w:b/>
          <w:bCs/>
          <w:color w:val="1F2937"/>
          <w:sz w:val="26"/>
          <w:szCs w:val="26"/>
        </w:rPr>
        <w:t xml:space="preserve">Sprint 5  Privacy and controls</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Document the privacy and confidentiality controls as a reviewable artifact. Every control has an owner (the author), a test procedure, and a pass result. This sprint produces documentation as much as code.</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a complete Excel metadata strip. Not only workbook.properties.creator — also lastModifiedBy, title, subject, keywords, description, category, contentStatus, company, manager, and all custom properties. Write a unit test that loads a generated workbook and asserts every metadata field is empty or a benign default.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Disable Streamlit usage analytics via config.toml. Disable custom logging of user inputs. Add an assertion at application startup that no logger is attached to the input-capturing functions.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Document each control in the control set table (Section 6) with a test procedure and a pass result.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the control-set document as a portfolio-facing artifact. A governance reviewer should be able to read it and understand what the tool does and does not do.</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metadata-strip tests pass.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control set is documented with pass/fail status for every listed control.</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README includes the full transparency statement verbatim.</w:t>
      </w:r>
    </w:p>
    <w:p>
      <w:pPr>
        <w:pStyle w:val="Heading2"/>
        <w:spacing w:after="120" w:before="280"/>
      </w:pPr>
      <w:r>
        <w:rPr>
          <w:rFonts w:ascii="Arial" w:cs="Arial" w:eastAsia="Arial" w:hAnsi="Arial"/>
          <w:b/>
          <w:bCs/>
          <w:color w:val="1F2937"/>
          <w:sz w:val="26"/>
          <w:szCs w:val="26"/>
        </w:rPr>
        <w:t xml:space="preserve">Sprint 6  Portfolio package</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Produce the surrounding assets that turn a working application into a credible portfolio artifact.</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the README. Include the transparency statement, the VBA-limitation notice, the Streamlit cold-start notice, and a short architectural overview.</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Produce rollback assets: a PDF containing labeled screenshots of the application in use, so that a demo can proceed without the live site. Store in docs/rollback-demo.pdf.</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Record a 90-second screen capture of the demo mode. Store in docs/demo.mp4 or host on a durable service.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Produce an architecture diagram showing the three layers (Streamlit UI, Python calculation, openpyxl export) and the absence of any AI, database, or external service.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Deploy to Streamlit Cloud. Verify on a second device via the Edge browser.</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URL is live and loads in Edge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Rollback PDF and demo video exist and reflect the current application.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README is complete and accurate.</w:t>
      </w:r>
    </w:p>
    <w:p>
      <w:pPr>
        <w:pStyle w:val="Heading1"/>
        <w:spacing w:after="160" w:before="360"/>
      </w:pPr>
      <w:r>
        <w:rPr>
          <w:rFonts w:ascii="Arial" w:cs="Arial" w:eastAsia="Arial" w:hAnsi="Arial"/>
          <w:b/>
          <w:bCs/>
          <w:color w:val="1F2937"/>
          <w:sz w:val="32"/>
          <w:szCs w:val="32"/>
        </w:rPr>
        <w:t xml:space="preserve">6. Privacy and control set</w:t>
      </w:r>
    </w:p>
    <w:p>
      <w:pPr>
        <w:spacing w:after="60" w:before="60" w:line="300"/>
      </w:pPr>
      <w:r>
        <w:rPr>
          <w:rFonts w:ascii="Arial" w:cs="Arial" w:eastAsia="Arial" w:hAnsi="Arial"/>
          <w:b w:val="false"/>
          <w:bCs w:val="false"/>
          <w:i w:val="false"/>
          <w:iCs w:val="false"/>
          <w:color w:val="1F2937"/>
          <w:sz w:val="22"/>
          <w:szCs w:val="22"/>
        </w:rPr>
        <w:t xml:space="preserve">Every listed control has a documented test procedure. Controls are implemented during the sprint indicated and tested in Sprint 5.</w:t>
      </w:r>
    </w:p>
    <w:p>
      <w:pPr>
        <w:spacing w:after="8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800"/>
        <w:gridCol w:w="960"/>
      </w:tblGrid>
      <w:tr>
        <w:trPr>
          <w:tblHeader/>
        </w:trPr>
        <w:tc>
          <w:tcPr>
            <w:tcW w:type="dxa" w:w="7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Control</w:t>
            </w:r>
          </w:p>
        </w:tc>
        <w:tc>
          <w:tcPr>
            <w:tcW w:type="dxa" w:w="4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Implementation</w:t>
            </w:r>
          </w:p>
        </w:tc>
        <w:tc>
          <w:tcPr>
            <w:tcW w:type="dxa" w:w="9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Sprint</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client or employer data present</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identifiers are role-based. Demo data is fully synthetic. Repository is reviewed before each commit.</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 ongoing</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C-02</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Complete Excel metadata strip</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core, application, and custom properties cleared on every generation. Asserted by unit test.</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C-03</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AI or LLM calls</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AI SDK in requirements.txt. No network calls outside openpyxl's read/write. Asserted by import-graph review.</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 ongoing</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C-04</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server-side storage</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Stateless application. No database. No file-system writes outside the Streamlit temporary directory.</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C-05</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user-input logging</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analytics disabled. No custom loggers on input functions.</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C-06</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Shared-secret authentication</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Password in Streamlit Secrets. Validated with hmac.compare_digest. Rotated manually.</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4</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C-07</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Secrets excluded from version control</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.streamlit/secrets.toml is in .gitignore. Pre-commit hook scans for accidental credential strings.</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C-08</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Output filename contains no identifiers</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Filename pattern is Audit_Tracker_[type]_[kickoff].xlsx. No names, no organization references.</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C-09</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Rollback plan exists</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PDF screenshots and a short video allow demonstration if Streamlit Cloud is unavailable.</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C-10</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Cold-start behavior disclosed</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states that the Streamlit free tier may take up to 30 seconds to wake.</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Browser support documented</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names Microsoft Edge as the tested browser.</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C-12</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VBA limitation disclosed</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warns users that the Excel download requires Windows Excel with macros enabled to use the dynamic row-hiding feature.</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bl>
    <w:p>
      <w:pPr>
        <w:pStyle w:val="Heading1"/>
        <w:spacing w:after="160" w:before="360"/>
      </w:pPr>
      <w:r>
        <w:rPr>
          <w:rFonts w:ascii="Arial" w:cs="Arial" w:eastAsia="Arial" w:hAnsi="Arial"/>
          <w:b/>
          <w:bCs/>
          <w:color w:val="1F2937"/>
          <w:sz w:val="32"/>
          <w:szCs w:val="32"/>
        </w:rPr>
        <w:t xml:space="preserve">7. AI governance decision (non-use)</w:t>
      </w:r>
    </w:p>
    <w:p>
      <w:pPr>
        <w:spacing w:after="60" w:before="60" w:line="300"/>
      </w:pPr>
      <w:r>
        <w:rPr>
          <w:rFonts w:ascii="Arial" w:cs="Arial" w:eastAsia="Arial" w:hAnsi="Arial"/>
          <w:b w:val="false"/>
          <w:bCs w:val="false"/>
          <w:i w:val="false"/>
          <w:iCs w:val="false"/>
          <w:color w:val="1F2937"/>
          <w:sz w:val="22"/>
          <w:szCs w:val="22"/>
        </w:rPr>
        <w:t xml:space="preserve">This section is unusual. It documents a decision not to build something. It exists because the absence of AI is itself a governance decision and should be reviewable as such.</w:t>
      </w:r>
    </w:p>
    <w:p>
      <w:pPr>
        <w:pStyle w:val="Heading3"/>
        <w:spacing w:after="80" w:before="220"/>
      </w:pPr>
      <w:r>
        <w:rPr>
          <w:rFonts w:ascii="Arial" w:cs="Arial" w:eastAsia="Arial" w:hAnsi="Arial"/>
          <w:b/>
          <w:bCs/>
          <w:color w:val="1F2937"/>
          <w:sz w:val="22"/>
          <w:szCs w:val="22"/>
        </w:rPr>
        <w:t xml:space="preserve">7.1 Decision</w:t>
      </w:r>
    </w:p>
    <w:p>
      <w:pPr>
        <w:spacing w:after="60" w:before="60" w:line="300"/>
      </w:pPr>
      <w:r>
        <w:rPr>
          <w:rFonts w:ascii="Arial" w:cs="Arial" w:eastAsia="Arial" w:hAnsi="Arial"/>
          <w:b w:val="false"/>
          <w:bCs w:val="false"/>
          <w:i w:val="false"/>
          <w:iCs w:val="false"/>
          <w:color w:val="1F2937"/>
          <w:sz w:val="22"/>
          <w:szCs w:val="22"/>
        </w:rPr>
        <w:t xml:space="preserve">The Audit Resource Tracker does not use, call, or transmit data to any artificial intelligence or large-language-model service. This applies to runtime (the deployed application), build time (Python scripts and tests), and operational support (logs, analytics, error reporting).</w:t>
      </w:r>
    </w:p>
    <w:p>
      <w:pPr>
        <w:pStyle w:val="Heading3"/>
        <w:spacing w:after="80" w:before="220"/>
      </w:pPr>
      <w:r>
        <w:rPr>
          <w:rFonts w:ascii="Arial" w:cs="Arial" w:eastAsia="Arial" w:hAnsi="Arial"/>
          <w:b/>
          <w:bCs/>
          <w:color w:val="1F2937"/>
          <w:sz w:val="22"/>
          <w:szCs w:val="22"/>
        </w:rPr>
        <w:t xml:space="preserve">7.2 Rationale</w:t>
      </w:r>
    </w:p>
    <w:p>
      <w:pPr>
        <w:spacing w:after="60" w:before="60" w:line="300"/>
      </w:pPr>
      <w:r>
        <w:rPr>
          <w:rFonts w:ascii="Arial" w:cs="Arial" w:eastAsia="Arial" w:hAnsi="Arial"/>
          <w:b w:val="false"/>
          <w:bCs w:val="false"/>
          <w:i w:val="false"/>
          <w:iCs w:val="false"/>
          <w:color w:val="1F2937"/>
          <w:sz w:val="22"/>
          <w:szCs w:val="22"/>
        </w:rPr>
        <w:t xml:space="preserve">The intended operating context is an organization that treats AI tools with caution and has not formally approved them for use with internal work product. Introducing AI into a tool used for audit planning — even with synthetic demo data — would create ambiguity about data flows and demand an approval process disproportionate to the tool's benefit.</w:t>
      </w:r>
    </w:p>
    <w:p>
      <w:pPr>
        <w:pStyle w:val="Heading3"/>
        <w:spacing w:after="80" w:before="220"/>
      </w:pPr>
      <w:r>
        <w:rPr>
          <w:rFonts w:ascii="Arial" w:cs="Arial" w:eastAsia="Arial" w:hAnsi="Arial"/>
          <w:b/>
          <w:bCs/>
          <w:color w:val="1F2937"/>
          <w:sz w:val="22"/>
          <w:szCs w:val="22"/>
        </w:rPr>
        <w:t xml:space="preserve">7.3 What 'no AI' means in practice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AI SDK in requirements.txt. Verified on every build.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HTTP calls from application code to external services. The only external calls are openpyxl's file I/O and Streamlit's own infrastructure.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telemetry, usage analytics, or error-reporting service. Streamlit's own analytics are disabled via config.</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LLM-generated content (task suggestions, report text, summaries) is written into the tool's output.</w:t>
      </w:r>
    </w:p>
    <w:p>
      <w:pPr>
        <w:pStyle w:val="Heading3"/>
        <w:spacing w:after="80" w:before="220"/>
      </w:pPr>
      <w:r>
        <w:rPr>
          <w:rFonts w:ascii="Arial" w:cs="Arial" w:eastAsia="Arial" w:hAnsi="Arial"/>
          <w:b/>
          <w:bCs/>
          <w:color w:val="1F2937"/>
          <w:sz w:val="22"/>
          <w:szCs w:val="22"/>
        </w:rPr>
        <w:t xml:space="preserve">7.4 Revisit trigger</w:t>
      </w:r>
    </w:p>
    <w:p>
      <w:pPr>
        <w:spacing w:after="60" w:before="60" w:line="300"/>
      </w:pPr>
      <w:r>
        <w:rPr>
          <w:rFonts w:ascii="Arial" w:cs="Arial" w:eastAsia="Arial" w:hAnsi="Arial"/>
          <w:b w:val="false"/>
          <w:bCs w:val="false"/>
          <w:i w:val="false"/>
          <w:iCs w:val="false"/>
          <w:color w:val="1F2937"/>
          <w:sz w:val="22"/>
          <w:szCs w:val="22"/>
        </w:rPr>
        <w:t xml:space="preserve">This decision is revisited if the author's operating context changes — specifically, if a documented organizational policy permits AI tools with clear data-handling rules. Until then, the decision stands.</w:t>
      </w:r>
    </w:p>
    <w:p>
      <w:pPr>
        <w:pStyle w:val="Heading3"/>
        <w:spacing w:after="80" w:before="220"/>
      </w:pPr>
      <w:r>
        <w:rPr>
          <w:rFonts w:ascii="Arial" w:cs="Arial" w:eastAsia="Arial" w:hAnsi="Arial"/>
          <w:b/>
          <w:bCs/>
          <w:color w:val="1F2937"/>
          <w:sz w:val="22"/>
          <w:szCs w:val="22"/>
        </w:rPr>
        <w:t xml:space="preserve">7.5 Alignment with frameworks</w:t>
      </w:r>
    </w:p>
    <w:p>
      <w:pPr>
        <w:spacing w:after="60" w:before="60" w:line="300"/>
      </w:pPr>
      <w:r>
        <w:rPr>
          <w:rFonts w:ascii="Arial" w:cs="Arial" w:eastAsia="Arial" w:hAnsi="Arial"/>
          <w:b w:val="false"/>
          <w:bCs w:val="false"/>
          <w:i w:val="false"/>
          <w:iCs w:val="false"/>
          <w:color w:val="1F2937"/>
          <w:sz w:val="22"/>
          <w:szCs w:val="22"/>
        </w:rPr>
        <w:t xml:space="preserve">This decision aligns with the NIST AI Risk Management Framework's 'govern' and 'map' functions: the tool's AI-use context is explicitly defined (null), the risks of AI use in this context are identified (confidentiality exposure, unapproved data flow), and the treatment is documented. The author holds or is pursuing relevant certifications (CIA, CISSP, NIST AI RMF Foundation, AIGP in progress) that inform this framing.</w:t>
      </w:r>
    </w:p>
    <w:p>
      <w:pPr>
        <w:pStyle w:val="Heading1"/>
        <w:spacing w:after="160" w:before="360"/>
      </w:pPr>
      <w:r>
        <w:rPr>
          <w:rFonts w:ascii="Arial" w:cs="Arial" w:eastAsia="Arial" w:hAnsi="Arial"/>
          <w:b/>
          <w:bCs/>
          <w:color w:val="1F2937"/>
          <w:sz w:val="32"/>
          <w:szCs w:val="32"/>
        </w:rPr>
        <w:t xml:space="preserve">8. Confidentiality safeguards</w:t>
      </w:r>
    </w:p>
    <w:p>
      <w:pPr>
        <w:spacing w:after="60" w:before="60" w:line="300"/>
      </w:pPr>
      <w:r>
        <w:rPr>
          <w:rFonts w:ascii="Arial" w:cs="Arial" w:eastAsia="Arial" w:hAnsi="Arial"/>
          <w:b w:val="false"/>
          <w:bCs w:val="false"/>
          <w:i w:val="false"/>
          <w:iCs w:val="false"/>
          <w:color w:val="1F2937"/>
          <w:sz w:val="22"/>
          <w:szCs w:val="22"/>
        </w:rPr>
        <w:t xml:space="preserve">Actions taken to prevent intentional or unintentional disclosure of confidential information through this tool or its repository.</w:t>
      </w:r>
    </w:p>
    <w:p>
      <w:pPr>
        <w:pStyle w:val="Heading3"/>
        <w:spacing w:after="80" w:before="220"/>
      </w:pPr>
      <w:r>
        <w:rPr>
          <w:rFonts w:ascii="Arial" w:cs="Arial" w:eastAsia="Arial" w:hAnsi="Arial"/>
          <w:b/>
          <w:bCs/>
          <w:color w:val="1F2937"/>
          <w:sz w:val="22"/>
          <w:szCs w:val="22"/>
        </w:rPr>
        <w:t xml:space="preserve">8.1 Code and repository</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repository is a personal project. The author confirms it was developed entirely on personal time and contains no employer-owned code.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employer names, client names, agency names, or colleague names appear in code, comments, commit messages, issue titles, or documentation.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Role names are abstract (PM, Auditor 1 through 4, AM, QC, RE) and correspond to any audit engagement, not a specific organization's structure.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Holiday data is limited to publicly available calendar information.</w:t>
      </w:r>
    </w:p>
    <w:p>
      <w:pPr>
        <w:pStyle w:val="Heading3"/>
        <w:spacing w:after="80" w:before="220"/>
      </w:pPr>
      <w:r>
        <w:rPr>
          <w:rFonts w:ascii="Arial" w:cs="Arial" w:eastAsia="Arial" w:hAnsi="Arial"/>
          <w:b/>
          <w:bCs/>
          <w:color w:val="1F2937"/>
          <w:sz w:val="22"/>
          <w:szCs w:val="22"/>
        </w:rPr>
        <w:t xml:space="preserve">8.2 Demo data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demo scenarios are synthetic. Scenario names reference fictional audit types (for example, 'IT general controls review').</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Demo dates are in a generic future fiscal year.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demo scenario references a real engagement, organization, or person.</w:t>
      </w:r>
    </w:p>
    <w:p>
      <w:pPr>
        <w:pStyle w:val="Heading3"/>
        <w:spacing w:after="80" w:before="220"/>
      </w:pPr>
      <w:r>
        <w:rPr>
          <w:rFonts w:ascii="Arial" w:cs="Arial" w:eastAsia="Arial" w:hAnsi="Arial"/>
          <w:b/>
          <w:bCs/>
          <w:color w:val="1F2937"/>
          <w:sz w:val="22"/>
          <w:szCs w:val="22"/>
        </w:rPr>
        <w:t xml:space="preserve">8.3 Output files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Generated workbooks carry no metadata linking them to the author's machine or identity (see C-02).</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output filename contains only the audit type and kickoff date. No other identifier.</w:t>
      </w:r>
    </w:p>
    <w:p>
      <w:pPr>
        <w:pStyle w:val="Heading3"/>
        <w:spacing w:after="80" w:before="220"/>
      </w:pPr>
      <w:r>
        <w:rPr>
          <w:rFonts w:ascii="Arial" w:cs="Arial" w:eastAsia="Arial" w:hAnsi="Arial"/>
          <w:b/>
          <w:bCs/>
          <w:color w:val="1F2937"/>
          <w:sz w:val="22"/>
          <w:szCs w:val="22"/>
        </w:rPr>
        <w:t xml:space="preserve">8.4 Operational exposure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application is stateless. No user input is persisted server-side.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Cloud's default analytics are disabled.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Application logs are not enabled. If a diagnostic log is ever added, it must exclude user inputs by design and by test.</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shared-secret authentication limits casual discovery but is not a defense against determined access. Users are expected to understand this and not enter anything confidential.</w:t>
      </w:r>
    </w:p>
    <w:p>
      <w:pPr>
        <w:pStyle w:val="Heading1"/>
        <w:spacing w:after="160" w:before="360"/>
      </w:pPr>
      <w:r>
        <w:rPr>
          <w:rFonts w:ascii="Arial" w:cs="Arial" w:eastAsia="Arial" w:hAnsi="Arial"/>
          <w:b/>
          <w:bCs/>
          <w:color w:val="1F2937"/>
          <w:sz w:val="32"/>
          <w:szCs w:val="32"/>
        </w:rPr>
        <w:t xml:space="preserve">9. Feature backlog</w:t>
      </w:r>
    </w:p>
    <w:p>
      <w:pPr>
        <w:spacing w:after="60" w:before="60" w:line="300"/>
      </w:pPr>
      <w:r>
        <w:rPr>
          <w:rFonts w:ascii="Arial" w:cs="Arial" w:eastAsia="Arial" w:hAnsi="Arial"/>
          <w:b w:val="false"/>
          <w:bCs w:val="false"/>
          <w:i w:val="false"/>
          <w:iCs w:val="false"/>
          <w:color w:val="1F2937"/>
          <w:sz w:val="22"/>
          <w:szCs w:val="22"/>
        </w:rPr>
        <w:t xml:space="preserve">Features considered but deferred, ordered by current priority. Reordered between sprints as needs become clear. Items marked 'In-scope' have been promoted from backlog into the active plan; they remain listed here for traceability.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60"/>
        <w:gridCol w:w="2900"/>
      </w:tblGrid>
      <w:tr>
        <w:trPr>
          <w:tblHeader/>
        </w:trPr>
        <w:tc>
          <w:tcPr>
            <w:tcW w:type="dxa" w:w="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2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Feature</w:t>
            </w:r>
          </w:p>
        </w:tc>
        <w:tc>
          <w:tcPr>
            <w:tcW w:type="dxa" w:w="36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Notes</w:t>
            </w:r>
          </w:p>
        </w:tc>
        <w:tc>
          <w:tcPr>
            <w:tcW w:type="dxa" w:w="29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Status / Revisit trigger</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F-01</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Mid-audit state saving</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Requires a data model and likely a database. Significant privacy implications.</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three practitioners request it and a privacy model is drafted.</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F-02</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PDF export of the timeline tab</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Allows sharing without requiring Excel. Lower complexity than state saving.</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Sprint 6.</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F-03</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Holiday and skeleton-day calendar upload</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uploads a current-year calendar file. Tool parses and replaces the built-in dataset for that session. Required to keep the tool usable beyond FY2027 and to relieve the 52-week cap's dataset dependency.</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In-scope. Target: Sprint 7 (post-v1).</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F-04</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Alternate browser support</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Firefox, Chrome, and Safari testing if the audience expands beyond the current Edge-only environment.</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if any user reports a browser compatibility issue.</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F-05</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Multi-audit dashboard</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Compare two or more planned audits side by side.</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once state saving (F-01) exists.</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F-06</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Printable one-pager</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summary page suitable for distribution.</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User demand-driven.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F-07</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Expanded task-count capacity</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Increase row caps beyond the current 25 Planning / 40 Fieldwork / 20 Reporting rows. Not a current operational scenario at the author's organization.</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only if a user reports the caps are limiting.</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F-08</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Multiple warnings per milestone</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users to configure more than one warning window for the same milestone (for example, both a 10-workday and a 3-workday warning for Report Release). ADR-012 implements one warning per milestone; multiple warnings are a natural extension.</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three users request it.</w:t>
            </w:r>
          </w:p>
        </w:tc>
      </w:tr>
    </w:tbl>
    <w:p>
      <w:pPr>
        <w:pStyle w:val="Heading1"/>
        <w:spacing w:after="160" w:before="360"/>
      </w:pPr>
      <w:r>
        <w:rPr>
          <w:rFonts w:ascii="Arial" w:cs="Arial" w:eastAsia="Arial" w:hAnsi="Arial"/>
          <w:b/>
          <w:bCs/>
          <w:color w:val="1F2937"/>
          <w:sz w:val="32"/>
          <w:szCs w:val="32"/>
        </w:rPr>
        <w:t xml:space="preserve">10. Risk register</w:t>
      </w:r>
    </w:p>
    <w:p>
      <w:pPr>
        <w:spacing w:after="60" w:before="60" w:line="300"/>
      </w:pPr>
      <w:r>
        <w:rPr>
          <w:rFonts w:ascii="Arial" w:cs="Arial" w:eastAsia="Arial" w:hAnsi="Arial"/>
          <w:b w:val="false"/>
          <w:bCs w:val="false"/>
          <w:i w:val="false"/>
          <w:iCs w:val="false"/>
          <w:color w:val="1F2937"/>
          <w:sz w:val="22"/>
          <w:szCs w:val="22"/>
        </w:rPr>
        <w:t xml:space="preserve">A living risk register in the format an internal auditor would maintain. Impact and likelihood are rated low, medium, or high. Status is open, mitigated, or closed.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1100"/>
        <w:gridCol w:w="3160"/>
        <w:gridCol w:w="1000"/>
      </w:tblGrid>
      <w:tr>
        <w:trPr>
          <w:tblHeader/>
        </w:trPr>
        <w:tc>
          <w:tcPr>
            <w:tcW w:type="dxa" w:w="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Risk</w:t>
            </w:r>
          </w:p>
        </w:tc>
        <w:tc>
          <w:tcPr>
            <w:tcW w:type="dxa" w:w="9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Impact</w:t>
            </w:r>
          </w:p>
        </w:tc>
        <w:tc>
          <w:tcPr>
            <w:tcW w:type="dxa" w:w="11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Likelihood</w:t>
            </w:r>
          </w:p>
        </w:tc>
        <w:tc>
          <w:tcPr>
            <w:tcW w:type="dxa" w:w="31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Mitigation</w:t>
            </w:r>
          </w:p>
        </w:tc>
        <w:tc>
          <w:tcPr>
            <w:tcW w:type="dxa" w:w="10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Status</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R-01</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Generated workbook has calculation drift from the v4 Excel</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Parity tests in Sprint 3. Golden-file test in Sprint 2.</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R-02</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Confidential data leaks into repository</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Controls C-01, C-07. Pre-commit review before every push.</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R-03</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Cloud cold start undermines demo</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 C-10. Rollback PDF in C-09.</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R-04</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Application fails in Edge due to Streamlit quirk</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Edge testing in every sprint. Early deployment in Sprint 1.</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R-05</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VBA limitation confuses downstream user</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 C-12. Explicit README warning.</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R-06</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Python skill gap delays Sprint 3</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Study plan aligned to IBM Data Analytics course. Sprint 3 deliberately scoped small.</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R-07</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Repository is mistaken for employer work product</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Transparency statement on README and in this document.</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R-08</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Holiday data becomes stale (fiscal-year rollover)</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 (annual)</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Detection via edge case 13.9 (staleness notice). Long-term fix via feature F-03 (user-uploadable calendar), now in-scope.</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Partially mitigated</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R-09</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free-tier limits hit during interview demo</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Rollback PDF (C-09). Known cold-start disclosure.</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R-10</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Portfolio signal diluted by feature creep</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Sprint discipline. Every new feature must fit a sprint boundary or enter the backlog.</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bl>
    <w:p>
      <w:pPr>
        <w:pStyle w:val="Heading1"/>
        <w:spacing w:after="160" w:before="360"/>
      </w:pPr>
      <w:r>
        <w:rPr>
          <w:rFonts w:ascii="Arial" w:cs="Arial" w:eastAsia="Arial" w:hAnsi="Arial"/>
          <w:b/>
          <w:bCs/>
          <w:color w:val="1F2937"/>
          <w:sz w:val="32"/>
          <w:szCs w:val="32"/>
        </w:rPr>
        <w:t xml:space="preserve">11. Open questions</w:t>
      </w:r>
    </w:p>
    <w:p>
      <w:pPr>
        <w:spacing w:after="60" w:before="60" w:line="300"/>
      </w:pPr>
      <w:r>
        <w:rPr>
          <w:rFonts w:ascii="Arial" w:cs="Arial" w:eastAsia="Arial" w:hAnsi="Arial"/>
          <w:b w:val="false"/>
          <w:bCs w:val="false"/>
          <w:i w:val="false"/>
          <w:iCs w:val="false"/>
          <w:color w:val="1F2937"/>
          <w:sz w:val="22"/>
          <w:szCs w:val="22"/>
        </w:rPr>
        <w:t xml:space="preserve">Questions that require an explicit decision before the relevant sprint begins. Resolved questions are moved to Section 4 (ADRs), Section 9 (Backlog), or Section 13 (Edge-case handling).</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Is the 'Audit Manager' role's hours budget a hard ceiling or a recommended guideline? The current Excel treats it as advisory.</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Should the on-target buffer be per-audit-type or always user-entered?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Does 'protect the code' imply private repository until Sprint 6, or public from day one?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Is a downloadable PDF of the timeline a Sprint 6 item or a v1.1 backlog item?</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Which demo scenarios represent the tool best? The three slots should cover small, typical, and large audits.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What file format(s) should the holiday-upload feature (F-03) accept? Options include CSV, XLSX, and ICS. Decision needed before Sprint 7 scoping.</w:t>
      </w:r>
    </w:p>
    <w:p>
      <w:pPr>
        <w:pStyle w:val="Heading1"/>
        <w:spacing w:after="160" w:before="360"/>
      </w:pPr>
      <w:r>
        <w:rPr>
          <w:rFonts w:ascii="Arial" w:cs="Arial" w:eastAsia="Arial" w:hAnsi="Arial"/>
          <w:b/>
          <w:bCs/>
          <w:color w:val="1F2937"/>
          <w:sz w:val="32"/>
          <w:szCs w:val="32"/>
        </w:rPr>
        <w:t xml:space="preserve">12. Glossary</w:t>
      </w:r>
    </w:p>
    <w:p>
      <w:pPr>
        <w:spacing w:after="60" w:before="60" w:line="300"/>
      </w:pPr>
      <w:r>
        <w:rPr>
          <w:rFonts w:ascii="Arial" w:cs="Arial" w:eastAsia="Arial" w:hAnsi="Arial"/>
          <w:b w:val="false"/>
          <w:bCs w:val="false"/>
          <w:i w:val="false"/>
          <w:iCs w:val="false"/>
          <w:color w:val="1F2937"/>
          <w:sz w:val="22"/>
          <w:szCs w:val="22"/>
        </w:rPr>
        <w:t xml:space="preserve">Selected terms, mixing audit and engineering vocabulary so the document is self-contained.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Term</w:t>
            </w:r>
          </w:p>
        </w:tc>
        <w:tc>
          <w:tcPr>
            <w:tcW w:type="dxa" w:w="75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Definition</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ADR</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Architecture Decision Record — a short, numbered, immutable record of a significant design choice.</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Golden file</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reference output committed to source control, against which future outputs are diffed.</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Parity test</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test that runs the same input through two implementations (here: Python and Excel) and asserts the outputs are equal.</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framework for building web applications with only Python code.</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openpyxl</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library for reading and writing Excel files.</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Walking skeleton</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minimal end-to-end working version of a system, used as the scaffolding for subsequent work.</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hmac.compare_digest</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function for comparing secrets without leaking timing information.</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On-target meeting</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An audit milestone occurring a set buffer before the end of fieldwork, at which the team confirms the audit is on course.</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Cross-cutting</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 the v4 workbook, roles (Audit Manager, QC, Report Editor) whose hours span the full audit rather than a single phase.</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Skeleton crew day</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day on which an agency is open but minimally staffed; counts as a working day for business-day math but reduces available hours.</w:t>
            </w:r>
          </w:p>
        </w:tc>
      </w:tr>
    </w:tbl>
    <w:p>
      <w:pPr>
        <w:pStyle w:val="Heading1"/>
        <w:spacing w:after="160" w:before="360"/>
      </w:pPr>
      <w:r>
        <w:rPr>
          <w:rFonts w:ascii="Arial" w:cs="Arial" w:eastAsia="Arial" w:hAnsi="Arial"/>
          <w:b/>
          <w:bCs/>
          <w:color w:val="1F2937"/>
          <w:sz w:val="32"/>
          <w:szCs w:val="32"/>
        </w:rPr>
        <w:t xml:space="preserve">13. Edge-case handling</w:t>
      </w:r>
    </w:p>
    <w:p>
      <w:pPr>
        <w:spacing w:after="60" w:before="60" w:line="300"/>
      </w:pPr>
      <w:r>
        <w:rPr>
          <w:rFonts w:ascii="Arial" w:cs="Arial" w:eastAsia="Arial" w:hAnsi="Arial"/>
          <w:b w:val="false"/>
          <w:bCs w:val="false"/>
          <w:i w:val="false"/>
          <w:iCs w:val="false"/>
          <w:color w:val="1F2937"/>
          <w:sz w:val="22"/>
          <w:szCs w:val="22"/>
        </w:rPr>
        <w:t xml:space="preserve">Each edge case is documented with its trigger, the tool's behavior, the exact user-facing message, and the sprint in which the behavior is implemented. Entries are read-only once accepted; changes require a superseding ADR.</w:t>
      </w:r>
    </w:p>
    <w:p>
      <w:pPr>
        <w:pStyle w:val="Heading3"/>
        <w:spacing w:after="80" w:before="220"/>
      </w:pPr>
      <w:r>
        <w:rPr>
          <w:rFonts w:ascii="Arial" w:cs="Arial" w:eastAsia="Arial" w:hAnsi="Arial"/>
          <w:b/>
          <w:bCs/>
          <w:color w:val="1F2937"/>
          <w:sz w:val="22"/>
          <w:szCs w:val="22"/>
        </w:rPr>
        <w:t xml:space="preserve">13.1 Kickoff on a full-closure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matches a date in the full-closure holiday range (workbook's Closure Range).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Interrupt with a confirm-before-proceed dialog. Calculate the next open weekday by walking forward one weekday at a time, skipping weekends and skipping any date that is also a full-closure holiday, until an open day is found. Display both dates to the user.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(dialog title)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date falls on a holiday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(dialog body)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date you entered falls on a full-closure holiday. The tool can advance the kickoff to the next open workday. It does this by walking forward one weekday at a time — not by adding one day — so that multi-day closures such as Thanksgiving or the Christmas cluster are handled correctly. The proposed kickoff is [shifted date]. Use this date, or cancel and enter a different 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Buttons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 [shifted date]  |  Cancel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13.2 Kickoff on a skeleton-crew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matches a date in the skeleton-crew range.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an inline warning beneath the kickoff field. No auto-shift. Matches the existing workbook treatment of skeleton days as working days for business-day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Heads up: this date is a skeleton-crew day. Work proceeds but with reduced staffing. Resource availability rows will reflect a reduced-hours deduction for this 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13.3 Kickoff on a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a Friday.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an inline warning beneath the kickoff field. Matches existing Excel behavior in cell E5.</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Heads up: this kickoff falls on a Friday. Some teams prefer to begin audits on a Monday so that the first week is a full working week. This is informational — the audit will proceed with the date as entered.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13.4 Kickoff more than 1 year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more than 365 days before the current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Do not permit the form to proceed. The kickoff field is highlighted and the submit button is disabled until a valid date is entered.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This tool accepts kickoff dates up to 1 year in the past. The date you entered is [N] days before today. To reconstruct an older audit, you can adjust the kickoff to within the last 12 months or open a new instance of the tool without past-date restrictions (see Section 9 backlog).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13.5 Kickoff in the past (within 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between 1 and 365 days before the current date, and is not also covered by cases 13.1 through 13.3.</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 one-time informational notice asking whether the past-dated kickoff is intentional. Notice is dismissible but not blocking.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kickoff you entered is [N] days in the past. Is this intentional? Past-dated kickoffs are supported for reconstructing an already-started audit. If this was a typo, re-enter the date. [Yes, intentional]  [Re-enter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13.6 Phase weeks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Any of the three phase-week fields is zero or blank at submit time.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Field is highlighted. Submit button is disabled until corrected.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Every phase must be at least 1 week. Planning, Fieldwork, and Reporting each require a minimum of 1 week.</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13.7 Total phase weeks exceed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Sum of planning, fieldwork, and reporting weeks exceeds 52 at submit time.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Field group is highlighted. Submit button is disabled until corrected. Maximum total is a hard cap, not a soft warning.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total audit duration cannot exceed 52 weeks. The values you entered sum to [N] weeks. The 52-week cap exists because the timeline view and the holiday reference data both cover a 52-week window. Adjust phase weeks to bring the total to 52 or below.</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13.8 Leave exceeds available hours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On any resource-tab row, the sum of (Hours Available) + (Business Holidays deduction) + (Skeleton Days deduction) + (Leave) evaluates to a negative number.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Floor Total Available Hours at zero (matches existing Excel behavior). Show an inline warning next to the affected row. Does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(per row)</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Leave exceeds availability on this row; available hours capped at 0.</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13.9 Holiday data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or any generated audit date falls outside the date range covered by the currently loaded holiday dataset.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 persistent notice at the top of the preview pane. Do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Some dates in this audit fall outside the holiday dataset currently loaded (FY2026 through FY2027). Closures and skeleton-crew days outside that range will not be deducted. To maintain accuracy, upload a current holiday calendar — see [Settings &gt; Holiday Data].</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 for the detection; feature F-03 for the upload capability.</w:t>
            </w:r>
          </w:p>
        </w:tc>
      </w:tr>
    </w:tbl>
    <w:p>
      <w:pPr>
        <w:pStyle w:val="Heading3"/>
        <w:spacing w:after="80" w:before="220"/>
      </w:pPr>
      <w:r>
        <w:rPr>
          <w:rFonts w:ascii="Arial" w:cs="Arial" w:eastAsia="Arial" w:hAnsi="Arial"/>
          <w:b/>
          <w:bCs/>
          <w:color w:val="1F2937"/>
          <w:sz w:val="22"/>
          <w:szCs w:val="22"/>
        </w:rPr>
        <w:t xml:space="preserve">13.10 Milestone warning value below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enters a warning lead-time value less than 3 in the per-milestone warning configuration table.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The field is highlighted. Submit button remains disabled (in Streamlit UI) or the cell shows a data-validation error (in Excel) until the value is corrected.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Warning lead-time must be at least 3 workdays. Values below 3 would not provide meaningful advance notice.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13.11 Warning date falls before audit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For a given milestone, the calculated warning date (milestone date minus configured workday offset) is earlier than the audit's kickoff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The warning simply does not fire in any row of the output because no data row exists before kickoff. No user-facing message. This is documented here so that unit tests can assert the absence of the warning rather than the presence of an error.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13.12 Warning date falls in the milestone's own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configures a short warning (typically 3 or 4 workdays) that results in the warning date falling within the same calendar week as the milestone itself.</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Both the warning row and the milestone row display their respective content. Per ADR-012, this is an accepted consequence of short user-configured windows, not a defect.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13.13 Not addressed in v1</w:t>
      </w:r>
    </w:p>
    <w:p>
      <w:pPr>
        <w:spacing w:after="60" w:before="60" w:line="300"/>
      </w:pPr>
      <w:r>
        <w:rPr>
          <w:rFonts w:ascii="Arial" w:cs="Arial" w:eastAsia="Arial" w:hAnsi="Arial"/>
          <w:b w:val="false"/>
          <w:bCs w:val="false"/>
          <w:i w:val="false"/>
          <w:iCs w:val="false"/>
          <w:color w:val="1F2937"/>
          <w:sz w:val="22"/>
          <w:szCs w:val="22"/>
        </w:rPr>
        <w:t xml:space="preserve">The following edge cases are acknowledged but deliberately not handled in v1:</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Task counts exceeding row caps (25+ Planning, 40+ Fieldwork, 20+ Reporting). Documented in backlog item F-07. Not a current operational scenario.</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Fiscal-year crossings mid-audit with mismatched holiday coverage. Partially addressed by case 13.9 but not specially handled.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Kickoff in the far future (beyond the holiday dataset range). Symmetric with 13.9 — detected as a staleness notice, not rejected.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Multiple warnings per milestone (for example, both a 10-workday and a 3-workday warning for the same event). Users wanting this can set external calendar reminders. Backlog item F-08.</w:t>
      </w:r>
    </w:p>
    <w:p>
      <w:pPr>
        <w:pStyle w:val="Heading1"/>
        <w:spacing w:after="160" w:before="360"/>
      </w:pPr>
      <w:r>
        <w:rPr>
          <w:rFonts w:ascii="Arial" w:cs="Arial" w:eastAsia="Arial" w:hAnsi="Arial"/>
          <w:b/>
          <w:bCs/>
          <w:color w:val="1F2937"/>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Version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0.3</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Draft for Sprint 0 preparation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Next review</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End of Sprint 0</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Change log</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v0.3 — Added ADR-012 (per-milestone configurable warnings with workday calculation). Added Section 13 entries 13.10 through 13.12 covering warning-value validation, warning dates before kickoff, and warning/milestone same-week overlap. Renumbered existing 13.10 to 13.13. Updated Sprint 3 exit criteria: parity test scope expanded from 5 to 10+ scenarios, new exit criterion for warning-configuration functionality. Added backlog item F-08 (multiple warnings per milestone).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v0.2 change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Added ADR-009 (kickoff handling), ADR-010 (phase-week constraints), ADR-011 (leave-over-availability). Added Section 13 (Edge-case handling) with ten edge-case entries. Updated Section 9 backlog: holiday-upload feature F-03 promoted to in-scope. Updated Section 10 risk register: R-08 linked to 52-week cap and now partially mitigated by planned holiday-upload feature. Resolved six open questions from Section 11; remaining questions updated.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v0.1 change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Initial draft following scoping conversation. Sprint plan revised from the original specification. ADRs 1–8 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Maintained by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Project author</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4B5563"/>
        <w:sz w:val="16"/>
        <w:szCs w:val="16"/>
      </w:rPr>
      <w:t xml:space="preserve">Personal project — contains no confidential information</w:t>
    </w:r>
    <w:r>
      <w:rPr>
        <w:rFonts w:ascii="Arial" w:cs="Arial" w:eastAsia="Arial" w:hAnsi="Arial"/>
        <w:color w:val="4B5563"/>
        <w:sz w:val="16"/>
        <w:szCs w:val="16"/>
      </w:rPr>
      <w:t xml:space="preserve">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8"/>
        <w:szCs w:val="18"/>
      </w:rPr>
      <w:t xml:space="preserve">Audit Resource Tracker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Resource Tracker — Living Document</dc:title>
  <dc:creator>Audit Resource Tracker</dc:creator>
  <dc:description>Streamlit migration living document</dc:description>
  <cp:lastModifiedBy>Un-named</cp:lastModifiedBy>
  <cp:revision>1</cp:revision>
  <dcterms:created xsi:type="dcterms:W3CDTF">2026-04-18T15:41:30.817Z</dcterms:created>
  <dcterms:modified xsi:type="dcterms:W3CDTF">2026-04-18T15:41:30.818Z</dcterms:modified>
</cp:coreProperties>
</file>

<file path=docProps/custom.xml><?xml version="1.0" encoding="utf-8"?>
<Properties xmlns="http://schemas.openxmlformats.org/officeDocument/2006/custom-properties" xmlns:vt="http://schemas.openxmlformats.org/officeDocument/2006/docPropsVTypes"/>
</file>