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0000" w:sz="6"/>
              <w:left w:val="single" w:color="CC0000" w:sz="6"/>
              <w:bottom w:val="single" w:color="CC0000" w:sz="6"/>
              <w:right w:val="single" w:color="CC0000" w:sz="6"/>
            </w:tcBorders>
            <w:shd w:fill="FCE8E8" w:color="auto" w:val="clear"/>
            <w:tcMar>
              <w:top w:type="dxa" w:w="360"/>
              <w:left w:type="dxa" w:w="504"/>
              <w:bottom w:type="dxa" w:w="360"/>
              <w:right w:type="dxa" w:w="504"/>
            </w:tcMar>
          </w:tcPr>
          <w:p>
            <w:pPr>
              <w:spacing w:after="120" w:line="360" w:lineRule="auto"/>
              <w:jc w:val="center"/>
            </w:pPr>
            <w:r>
              <w:rPr>
                <w:rFonts w:ascii="Calibri" w:cs="Calibri" w:eastAsia="Calibri" w:hAnsi="Calibri"/>
                <w:b/>
                <w:bCs/>
                <w:i w:val="false"/>
                <w:iCs w:val="false"/>
                <w:strike w:val="false"/>
                <w:color w:val="CC0000"/>
                <w:sz w:val="22"/>
                <w:szCs w:val="22"/>
              </w:rPr>
              <w:t xml:space="preserve">CONFIDENTIAL — ReazLab Internal &amp; Investor Use Only</w:t>
            </w:r>
          </w:p>
          <w:p>
            <w:pPr>
              <w:spacing w:after="120" w:line="360" w:lineRule="auto"/>
              <w:jc w:val="center"/>
            </w:pPr>
            <w:r>
              <w:rPr>
                <w:rFonts w:ascii="Calibri" w:cs="Calibri" w:eastAsia="Calibri" w:hAnsi="Calibri"/>
                <w:b w:val="false"/>
                <w:bCs w:val="false"/>
                <w:i w:val="false"/>
                <w:iCs w:val="false"/>
                <w:strike w:val="false"/>
                <w:color w:val="666666"/>
                <w:sz w:val="22"/>
                <w:szCs w:val="22"/>
              </w:rPr>
              <w:t xml:space="preserve">This document contains proprietary information belonging to ReazLab. Unauthorized reproduction, distribution, or disclosure is strictly prohibited.</w:t>
            </w:r>
          </w:p>
        </w:tc>
      </w:tr>
    </w:tbl>
    <w:p>
      <w:pPr>
        <w:spacing w:after="240" w:before="0"/>
      </w:pPr>
    </w:p>
    <w:p>
      <w:pPr>
        <w:spacing w:after="240" w:before="60" w:line="360" w:lineRule="auto"/>
        <w:jc w:val="center"/>
      </w:pPr>
      <w:r>
        <w:rPr>
          <w:rFonts w:ascii="Calibri" w:cs="Calibri" w:eastAsia="Calibri" w:hAnsi="Calibri"/>
          <w:b w:val="false"/>
          <w:bCs w:val="false"/>
          <w:i w:val="false"/>
          <w:iCs w:val="false"/>
          <w:strike w:val="false"/>
          <w:color w:val="666666"/>
          <w:sz w:val="22"/>
          <w:szCs w:val="22"/>
        </w:rPr>
        <w:t xml:space="preserve">REAZLAB PRESENTS</w:t>
      </w:r>
    </w:p>
    <w:p>
      <w:pPr>
        <w:pStyle w:val="Heading1"/>
        <w:spacing w:after="120" w:before="480" w:line="312" w:lineRule="auto"/>
        <w:jc w:val="center"/>
      </w:pPr>
      <w:r>
        <w:rPr>
          <w:rFonts w:ascii="Calibri" w:cs="Calibri" w:eastAsia="Calibri" w:hAnsi="Calibri"/>
          <w:color w:val="1A1A1A"/>
          <w:sz w:val="48"/>
          <w:szCs w:val="48"/>
        </w:rPr>
        <w:t xml:space="preserve">Beamo</w:t>
      </w:r>
    </w:p>
    <w:p>
      <w:pPr>
        <w:spacing w:after="120" w:before="60" w:line="360" w:lineRule="auto"/>
        <w:jc w:val="center"/>
      </w:pPr>
      <w:r>
        <w:rPr>
          <w:rFonts w:ascii="Calibri" w:cs="Calibri" w:eastAsia="Calibri" w:hAnsi="Calibri"/>
          <w:b w:val="false"/>
          <w:bCs w:val="false"/>
          <w:i/>
          <w:iCs/>
          <w:strike w:val="false"/>
          <w:color w:val="2B5797"/>
          <w:sz w:val="22"/>
          <w:szCs w:val="22"/>
        </w:rPr>
        <w:t xml:space="preserve">“Just Beamo me”</w:t>
      </w:r>
    </w:p>
    <w:p>
      <w:pPr>
        <w:spacing w:after="360" w:before="60" w:line="360" w:lineRule="auto"/>
        <w:jc w:val="center"/>
      </w:pPr>
      <w:r>
        <w:rPr>
          <w:rFonts w:ascii="Calibri" w:cs="Calibri" w:eastAsia="Calibri" w:hAnsi="Calibri"/>
          <w:b w:val="false"/>
          <w:bCs w:val="false"/>
          <w:i w:val="false"/>
          <w:iCs w:val="false"/>
          <w:strike w:val="false"/>
          <w:color w:val="333333"/>
          <w:sz w:val="22"/>
          <w:szCs w:val="22"/>
        </w:rPr>
        <w:t xml:space="preserve">Master Product Requirements Document</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666666"/>
                <w:sz w:val="22"/>
                <w:szCs w:val="22"/>
              </w:rPr>
              <w:t xml:space="preserve">Version:</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r>
      <w:tr>
        <w:trPr>
          <w:tblHeader w:val="false"/>
        </w:trPr>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666666"/>
                <w:sz w:val="22"/>
                <w:szCs w:val="22"/>
              </w:rPr>
              <w:t xml:space="preserve">Date:</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April 16, 2026</w:t>
            </w:r>
          </w:p>
        </w:tc>
      </w:tr>
      <w:tr>
        <w:trPr>
          <w:tblHeader w:val="false"/>
        </w:trPr>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666666"/>
                <w:sz w:val="22"/>
                <w:szCs w:val="22"/>
              </w:rPr>
              <w:t xml:space="preserve">Author:</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Reaz, Founder — ReazLab</w:t>
            </w:r>
          </w:p>
        </w:tc>
      </w:tr>
      <w:tr>
        <w:trPr>
          <w:tblHeader w:val="false"/>
        </w:trPr>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666666"/>
                <w:sz w:val="22"/>
                <w:szCs w:val="22"/>
              </w:rPr>
              <w:t xml:space="preserve">Classification:</w:t>
            </w:r>
          </w:p>
        </w:tc>
        <w:tc>
          <w:tcPr>
            <w:tcW w:type="pct" w:w="59%"/>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Confidential</w:t>
            </w:r>
          </w:p>
        </w:tc>
      </w:tr>
    </w:tbl>
    <w:p>
      <w:pPr>
        <w:spacing w:after="200" w:before="0"/>
      </w:pPr>
    </w:p>
    <w:p>
      <w:pPr>
        <w:pBdr>
          <w:bottom w:val="single" w:color="2B5797" w:sz="6"/>
        </w:pBdr>
        <w:spacing w:after="240" w:before="240"/>
      </w:pPr>
    </w:p>
    <w:p>
      <w:pPr>
        <w:pStyle w:val="Heading1"/>
        <w:spacing w:after="120" w:before="480" w:line="312" w:lineRule="auto"/>
      </w:pPr>
      <w:r>
        <w:rPr>
          <w:rFonts w:ascii="Calibri" w:cs="Calibri" w:eastAsia="Calibri" w:hAnsi="Calibri"/>
          <w:color w:val="1A1A1A"/>
          <w:sz w:val="48"/>
          <w:szCs w:val="48"/>
        </w:rPr>
        <w:t xml:space="preserve">Table of Contents</w:t>
      </w:r>
    </w:p>
    <w:p>
      <w:pPr>
        <w:spacing w:after="60" w:before="120" w:line="360" w:lineRule="auto"/>
      </w:pPr>
      <w:r>
        <w:rPr>
          <w:rFonts w:ascii="Calibri" w:cs="Calibri" w:eastAsia="Calibri" w:hAnsi="Calibri"/>
          <w:b/>
          <w:bCs/>
          <w:i w:val="false"/>
          <w:iCs w:val="false"/>
          <w:strike w:val="false"/>
          <w:color w:val="000000"/>
          <w:sz w:val="22"/>
          <w:szCs w:val="22"/>
        </w:rPr>
        <w:t xml:space="preserve">1. Executive Summary &amp; Product Vision</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1.1 Mission Statement</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1.2 Core Thesis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1.3 Product Philosophy</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1.4 Target Launch &amp; Key Markets</w:t>
      </w:r>
    </w:p>
    <w:p>
      <w:pPr>
        <w:spacing w:after="60" w:before="120" w:line="360" w:lineRule="auto"/>
      </w:pPr>
      <w:r>
        <w:rPr>
          <w:rFonts w:ascii="Calibri" w:cs="Calibri" w:eastAsia="Calibri" w:hAnsi="Calibri"/>
          <w:b/>
          <w:bCs/>
          <w:i w:val="false"/>
          <w:iCs w:val="false"/>
          <w:strike w:val="false"/>
          <w:color w:val="000000"/>
          <w:sz w:val="22"/>
          <w:szCs w:val="22"/>
        </w:rPr>
        <w:t xml:space="preserve">2. Branding &amp; Identity</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2.1 Parent Brand: ReazLab</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2.2 Product Brand: Beamo</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2.3 Color Palette &amp; Visual Identity</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2.4 Typography &amp; Voice</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2.5 Asset Requirements</w:t>
      </w:r>
    </w:p>
    <w:p>
      <w:pPr>
        <w:spacing w:after="60" w:before="120" w:line="360" w:lineRule="auto"/>
      </w:pPr>
      <w:r>
        <w:rPr>
          <w:rFonts w:ascii="Calibri" w:cs="Calibri" w:eastAsia="Calibri" w:hAnsi="Calibri"/>
          <w:b/>
          <w:bCs/>
          <w:i w:val="false"/>
          <w:iCs w:val="false"/>
          <w:strike w:val="false"/>
          <w:color w:val="000000"/>
          <w:sz w:val="22"/>
          <w:szCs w:val="22"/>
        </w:rPr>
        <w:t xml:space="preserve">3. Target Market &amp; User Personas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3.1 Primary User Personas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3.2 Market Sizing: TAM / SAM / SOM</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3.3 Competitive Landscape</w:t>
      </w:r>
    </w:p>
    <w:p>
      <w:pPr>
        <w:spacing w:after="60" w:before="120" w:line="360" w:lineRule="auto"/>
      </w:pPr>
      <w:r>
        <w:rPr>
          <w:rFonts w:ascii="Calibri" w:cs="Calibri" w:eastAsia="Calibri" w:hAnsi="Calibri"/>
          <w:b/>
          <w:bCs/>
          <w:i w:val="false"/>
          <w:iCs w:val="false"/>
          <w:strike w:val="false"/>
          <w:color w:val="000000"/>
          <w:sz w:val="22"/>
          <w:szCs w:val="22"/>
        </w:rPr>
        <w:t xml:space="preserve">4. Core Product Architecture</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4.1 System Overview</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4.2 Key Architectural Decisions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4.3 Architecture Layers</w:t>
      </w:r>
    </w:p>
    <w:p>
      <w:pPr>
        <w:spacing w:after="60" w:before="120" w:line="360" w:lineRule="auto"/>
      </w:pPr>
      <w:r>
        <w:rPr>
          <w:rFonts w:ascii="Calibri" w:cs="Calibri" w:eastAsia="Calibri" w:hAnsi="Calibri"/>
          <w:b/>
          <w:bCs/>
          <w:i w:val="false"/>
          <w:iCs w:val="false"/>
          <w:strike w:val="false"/>
          <w:color w:val="000000"/>
          <w:sz w:val="22"/>
          <w:szCs w:val="22"/>
        </w:rPr>
        <w:t xml:space="preserve">5. Monetization Model</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5.1 Revenue Stream Overview</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5.2 Subscription Tiers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5.3 Revenue Projections (Month 1–12)</w:t>
      </w:r>
    </w:p>
    <w:p>
      <w:pPr>
        <w:spacing w:after="60" w:before="120" w:line="360" w:lineRule="auto"/>
      </w:pPr>
      <w:r>
        <w:rPr>
          <w:rFonts w:ascii="Calibri" w:cs="Calibri" w:eastAsia="Calibri" w:hAnsi="Calibri"/>
          <w:b/>
          <w:bCs/>
          <w:i w:val="false"/>
          <w:iCs w:val="false"/>
          <w:strike w:val="false"/>
          <w:color w:val="000000"/>
          <w:sz w:val="22"/>
          <w:szCs w:val="22"/>
        </w:rPr>
        <w:t xml:space="preserve">6. Partner Platform Engine</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6.1 B2B2C Growth Channel</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6.2 Partner Tiers &amp; Revenue Share</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6.3 Partner Onboarding Flow</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6.4 Technical Requirements</w:t>
      </w:r>
    </w:p>
    <w:p>
      <w:pPr>
        <w:spacing w:after="60" w:before="120" w:line="360" w:lineRule="auto"/>
      </w:pPr>
      <w:r>
        <w:rPr>
          <w:rFonts w:ascii="Calibri" w:cs="Calibri" w:eastAsia="Calibri" w:hAnsi="Calibri"/>
          <w:b/>
          <w:bCs/>
          <w:i w:val="false"/>
          <w:iCs w:val="false"/>
          <w:strike w:val="false"/>
          <w:color w:val="000000"/>
          <w:sz w:val="22"/>
          <w:szCs w:val="22"/>
        </w:rPr>
        <w:t xml:space="preserve">7. Admin Pricing Console</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7.1 Feature Set</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7.2 Access Control &amp; Governance</w:t>
      </w:r>
    </w:p>
    <w:p>
      <w:pPr>
        <w:spacing w:after="60" w:before="120" w:line="360" w:lineRule="auto"/>
      </w:pPr>
      <w:r>
        <w:rPr>
          <w:rFonts w:ascii="Calibri" w:cs="Calibri" w:eastAsia="Calibri" w:hAnsi="Calibri"/>
          <w:b/>
          <w:bCs/>
          <w:i w:val="false"/>
          <w:iCs w:val="false"/>
          <w:strike w:val="false"/>
          <w:color w:val="000000"/>
          <w:sz w:val="22"/>
          <w:szCs w:val="22"/>
        </w:rPr>
        <w:t xml:space="preserve">8. Universal Pricing Rights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8.1 Core Principles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8.2 Public Commitment &amp; Trust</w:t>
      </w:r>
    </w:p>
    <w:p>
      <w:pPr>
        <w:spacing w:after="60" w:before="120" w:line="360" w:lineRule="auto"/>
      </w:pPr>
      <w:r>
        <w:rPr>
          <w:rFonts w:ascii="Calibri" w:cs="Calibri" w:eastAsia="Calibri" w:hAnsi="Calibri"/>
          <w:b/>
          <w:bCs/>
          <w:i w:val="false"/>
          <w:iCs w:val="false"/>
          <w:strike w:val="false"/>
          <w:color w:val="000000"/>
          <w:sz w:val="22"/>
          <w:szCs w:val="22"/>
        </w:rPr>
        <w:t xml:space="preserve">9. Referral &amp; Viral Growth Engine</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9.1 Referral Mechanics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9.2 Viral Loops &amp; Social Integration</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9.3 Anti-Abuse Measures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9.4 Growth Projections</w:t>
      </w:r>
    </w:p>
    <w:p>
      <w:pPr>
        <w:spacing w:after="60" w:before="120" w:line="360" w:lineRule="auto"/>
      </w:pPr>
      <w:r>
        <w:rPr>
          <w:rFonts w:ascii="Calibri" w:cs="Calibri" w:eastAsia="Calibri" w:hAnsi="Calibri"/>
          <w:b/>
          <w:bCs/>
          <w:i w:val="false"/>
          <w:iCs w:val="false"/>
          <w:strike w:val="false"/>
          <w:color w:val="000000"/>
          <w:sz w:val="22"/>
          <w:szCs w:val="22"/>
        </w:rPr>
        <w:t xml:space="preserve">10. Failure-Proofing Rules &amp; Risk Mitigation</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10.1 Payment Failure-Proofing</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10.2 Platform Failure-Proofing</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10.3 Business Failure-Proofing</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10.4 User Trust Failure-Proofing</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10.5 Risk Matrix</w:t>
      </w:r>
    </w:p>
    <w:p>
      <w:pPr>
        <w:spacing w:after="60" w:before="120" w:line="360" w:lineRule="auto"/>
      </w:pPr>
      <w:r>
        <w:rPr>
          <w:rFonts w:ascii="Calibri" w:cs="Calibri" w:eastAsia="Calibri" w:hAnsi="Calibri"/>
          <w:b/>
          <w:bCs/>
          <w:i w:val="false"/>
          <w:iCs w:val="false"/>
          <w:strike w:val="false"/>
          <w:color w:val="000000"/>
          <w:sz w:val="22"/>
          <w:szCs w:val="22"/>
        </w:rPr>
        <w:t xml:space="preserve">11. Technical Requirements &amp; Infrastructure</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11.1 Frontend Stack</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11.2 Backend Stack</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11.3 Payment Integration</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11.4 Infrastructure &amp; DevOps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11.5 Performance Targets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11.6 Core Data Model</w:t>
      </w:r>
    </w:p>
    <w:p>
      <w:pPr>
        <w:spacing w:after="60" w:before="120" w:line="360" w:lineRule="auto"/>
      </w:pPr>
      <w:r>
        <w:rPr>
          <w:rFonts w:ascii="Calibri" w:cs="Calibri" w:eastAsia="Calibri" w:hAnsi="Calibri"/>
          <w:b/>
          <w:bCs/>
          <w:i w:val="false"/>
          <w:iCs w:val="false"/>
          <w:strike w:val="false"/>
          <w:color w:val="000000"/>
          <w:sz w:val="22"/>
          <w:szCs w:val="22"/>
        </w:rPr>
        <w:t xml:space="preserve">12. Security, Compliance &amp; Legal Requirements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12.1 Security Architecture</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12.2 Regulatory Compliance</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12.3 Legal Documentation</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12.4 Intellectual Property</w:t>
      </w:r>
    </w:p>
    <w:p>
      <w:pPr>
        <w:spacing w:after="60" w:before="120" w:line="360" w:lineRule="auto"/>
      </w:pPr>
      <w:r>
        <w:rPr>
          <w:rFonts w:ascii="Calibri" w:cs="Calibri" w:eastAsia="Calibri" w:hAnsi="Calibri"/>
          <w:b/>
          <w:bCs/>
          <w:i w:val="false"/>
          <w:iCs w:val="false"/>
          <w:strike w:val="false"/>
          <w:color w:val="000000"/>
          <w:sz w:val="22"/>
          <w:szCs w:val="22"/>
        </w:rPr>
        <w:t xml:space="preserve">13. Roadmap, KPIs &amp; Success Metrics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13.1 Product Roadmap</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13.2 Key Performance Indicators</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13.3 Series A Readiness Criteria</w:t>
      </w:r>
    </w:p>
    <w:p>
      <w:pPr>
        <w:spacing w:after="60" w:before="120" w:line="360" w:lineRule="auto"/>
      </w:pPr>
      <w:r>
        <w:rPr>
          <w:rFonts w:ascii="Calibri" w:cs="Calibri" w:eastAsia="Calibri" w:hAnsi="Calibri"/>
          <w:b/>
          <w:bCs/>
          <w:i w:val="false"/>
          <w:iCs w:val="false"/>
          <w:strike w:val="false"/>
          <w:color w:val="000000"/>
          <w:sz w:val="22"/>
          <w:szCs w:val="22"/>
        </w:rPr>
        <w:t xml:space="preserve">14. Internal Tooling Architecture (.NET MAUI Strategy)</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14.1 Strategic Rationale</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14.2 Architecture Overview</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14.3 Tool 1: Admin Pricing Console (APC)</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14.4 Tool 2: Operations Dashboard (OpsDash)</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14.5 Tool 3: Partner SDK Companion App (PartnerKit)</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14.6 Shared Razor Component Library</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14.7 Development and Deployment Strategy</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14.8 Resource Allocation and Build Timeline</w:t>
      </w:r>
    </w:p>
    <w:p>
      <w:pPr>
        <w:spacing w:after="60" w:before="60" w:line="360" w:lineRule="auto"/>
        <w:ind w:left="360"/>
      </w:pPr>
      <w:r>
        <w:rPr>
          <w:rFonts w:ascii="Calibri" w:cs="Calibri" w:eastAsia="Calibri" w:hAnsi="Calibri"/>
          <w:b w:val="false"/>
          <w:bCs w:val="false"/>
          <w:i w:val="false"/>
          <w:iCs w:val="false"/>
          <w:strike w:val="false"/>
          <w:color w:val="000000"/>
          <w:sz w:val="22"/>
          <w:szCs w:val="22"/>
        </w:rPr>
        <w:t xml:space="preserve">14.9 Success Metrics for Internal Tooling</w:t>
      </w:r>
    </w:p>
    <w:p>
      <w:pPr>
        <w:spacing w:after="60" w:before="120" w:line="360" w:lineRule="auto"/>
      </w:pPr>
      <w:r>
        <w:rPr>
          <w:rFonts w:ascii="Calibri" w:cs="Calibri" w:eastAsia="Calibri" w:hAnsi="Calibri"/>
          <w:b/>
          <w:bCs/>
          <w:i w:val="false"/>
          <w:iCs w:val="false"/>
          <w:strike w:val="false"/>
          <w:color w:val="000000"/>
          <w:sz w:val="22"/>
          <w:szCs w:val="22"/>
        </w:rPr>
        <w:t xml:space="preserve">Document Control</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1. Executive Summary &amp; Product Vision</w:t>
      </w:r>
    </w:p>
    <w:p>
      <w:pPr>
        <w:pStyle w:val="Heading2"/>
        <w:spacing w:after="120" w:before="360" w:line="312" w:lineRule="auto"/>
      </w:pPr>
      <w:r>
        <w:rPr>
          <w:rFonts w:ascii="Calibri" w:cs="Calibri" w:eastAsia="Calibri" w:hAnsi="Calibri"/>
          <w:color w:val="1A1A1A"/>
          <w:sz w:val="36"/>
          <w:szCs w:val="36"/>
        </w:rPr>
        <w:t xml:space="preserve">1.1 Mission Statement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Beamo is a next-generation, viral-first SaaS platform built by ReazLab. Its mission is to become the simplest, fastest, and most trusted way to send and receive payments between individuals and businesses — with zero payment risk for the platform operator. In a world where digital payments are fragmented across a dozen applications, each with inconsistent user experiences, opaque fee structures, and limited business utility, Beamo emerges as the unifying orchestration layer that delivers speed, transparency, and virality in a single product.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payment technology landscape has matured significantly over the past decade. Consumers are comfortable with peer-to-peer transfers, businesses increasingly accept digital payments, and the creator economy demands flexible, embeddable payment tools. Yet no single platform has successfully combined consumer-grade simplicity with business-grade monetization, API extensibility, and a referral engine designed for organic viral growth. Beamo is built to fill this gap.</w:t>
      </w:r>
    </w:p>
    <w:p>
      <w:pPr>
        <w:pStyle w:val="Heading2"/>
        <w:spacing w:after="120" w:before="360" w:line="312" w:lineRule="auto"/>
      </w:pPr>
      <w:r>
        <w:rPr>
          <w:rFonts w:ascii="Calibri" w:cs="Calibri" w:eastAsia="Calibri" w:hAnsi="Calibri"/>
          <w:color w:val="1A1A1A"/>
          <w:sz w:val="36"/>
          <w:szCs w:val="36"/>
        </w:rPr>
        <w:t xml:space="preserve">1.2 Core Thesis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 Core Thesis</w:t>
            </w:r>
          </w:p>
          <w:p>
            <w:pPr>
              <w:spacing w:after="120" w:line="360" w:lineRule="auto"/>
            </w:pPr>
            <w:r>
              <w:rPr>
                <w:rFonts w:ascii="Calibri" w:cs="Calibri" w:eastAsia="Calibri" w:hAnsi="Calibri"/>
                <w:b w:val="false"/>
                <w:bCs w:val="false"/>
                <w:i w:val="false"/>
                <w:iCs w:val="false"/>
                <w:strike w:val="false"/>
                <w:color w:val="000000"/>
                <w:sz w:val="22"/>
                <w:szCs w:val="22"/>
              </w:rPr>
              <w:t xml:space="preserve">Beamo never touches user funds directly. All payment processing is delegated to trusted, licensed third-party processors (Stripe, PayPal, and future integrations), making Beamo a </w:t>
            </w:r>
            <w:r>
              <w:rPr>
                <w:rFonts w:ascii="Calibri" w:cs="Calibri" w:eastAsia="Calibri" w:hAnsi="Calibri"/>
                <w:b/>
                <w:bCs/>
                <w:i w:val="false"/>
                <w:iCs w:val="false"/>
                <w:strike w:val="false"/>
                <w:color w:val="000000"/>
                <w:sz w:val="22"/>
                <w:szCs w:val="22"/>
              </w:rPr>
              <w:t xml:space="preserve">payment orchestration layer</w:t>
            </w:r>
            <w:r>
              <w:rPr>
                <w:rFonts w:ascii="Calibri" w:cs="Calibri" w:eastAsia="Calibri" w:hAnsi="Calibri"/>
                <w:b w:val="false"/>
                <w:bCs w:val="false"/>
                <w:i w:val="false"/>
                <w:iCs w:val="false"/>
                <w:strike w:val="false"/>
                <w:color w:val="000000"/>
                <w:sz w:val="22"/>
                <w:szCs w:val="22"/>
              </w:rPr>
              <w:t xml:space="preserve"> — not a payment processor. This architectural decision eliminates PCI liability, chargebacks, money transmitter licensing requirements, and the vast majority of regulatory complexity that burdens traditional fintech startups.</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By positioning itself as an orchestration and experience layer, Beamo can move faster, launch leaner, and scale with dramatically lower regulatory overhead than competitors who process funds directly. The platform captures value through transaction fee overlays, premium subscriptions, partner revenue sharing, and enterprise API licensing — all without ever assuming custody of user funds.</w:t>
      </w:r>
    </w:p>
    <w:p>
      <w:pPr>
        <w:pStyle w:val="Heading2"/>
        <w:spacing w:after="120" w:before="360" w:line="312" w:lineRule="auto"/>
      </w:pPr>
      <w:r>
        <w:rPr>
          <w:rFonts w:ascii="Calibri" w:cs="Calibri" w:eastAsia="Calibri" w:hAnsi="Calibri"/>
          <w:color w:val="1A1A1A"/>
          <w:sz w:val="36"/>
          <w:szCs w:val="36"/>
        </w:rPr>
        <w:t xml:space="preserve">1.3 Product Philosophy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Beamo product philosophy rests on four pillars that guide every design decision, feature prioritization, and engineering trade-off:</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Pillar</w:t>
            </w:r>
          </w:p>
        </w:tc>
        <w:tc>
          <w:tcPr>
            <w:tcW w:type="pct" w:w="8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Description</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Zero Friction</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Every interaction is optimized for speed. Payment link generation takes under 500 milliseconds. Onboarding completes in under 60 seconds. No unnecessary steps, confirmations, or waiting screens. If a flow takes more than three taps, it must be redesigned.</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Zero Payment Risk</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Beamo never holds, stores, or processes user funds. All money flows directly between the user and their chosen payment processor. This eliminates chargebacks, fund custody liability, and the need for money transmitter licenses in any jurisdiction.</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Maximum Virality</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Every payment link, every transaction, every receipt is a distribution channel. The product is engineered so that natural usage generates new user acquisition. The target viral coefficient (K-factor) exceeds 1.0 within six months of public launch.</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Aligned Monetization</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Beamo makes money when users make money. Revenue streams are designed around user success — transaction volume, business growth, and platform adoption — never through predatory fees, hidden charges, or data exploitation.</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1.4 Target Launch &amp; Key Markets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minimum viable product (MVP) is targeted for delivery by Q3 2026, with a closed beta of approximately 100 users beginning in Q2 2026. The initial launch will focus exclusively on the United States market, targeting four high-value segments: freelancers and independent contractors, small and local businesses, the creator economy (content creators, streamers, educators), and peer-to-peer payments among individuals. These segments collectively represent the highest digital payment adoption rates, the greatest dissatisfaction with existing tools, and the strongest viral potential through network effects.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FFF" w:color="auto" w:val="clear"/>
            <w:tcMar>
              <w:top w:type="dxa" w:w="120"/>
              <w:left w:type="dxa" w:w="240"/>
              <w:bottom w:type="dxa" w:w="120"/>
              <w:right w:type="dxa" w:w="24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“Just Beamo me” — a phrase as ubiquitous as “Venmo me,” but with a business-grade monetization engine, referral virality, and multi-platform reach.</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2. Branding &amp; Identity</w:t>
      </w:r>
    </w:p>
    <w:p>
      <w:pPr>
        <w:pStyle w:val="Heading2"/>
        <w:spacing w:after="120" w:before="360" w:line="312" w:lineRule="auto"/>
      </w:pPr>
      <w:r>
        <w:rPr>
          <w:rFonts w:ascii="Calibri" w:cs="Calibri" w:eastAsia="Calibri" w:hAnsi="Calibri"/>
          <w:color w:val="1A1A1A"/>
          <w:sz w:val="36"/>
          <w:szCs w:val="36"/>
        </w:rPr>
        <w:t xml:space="preserve">2.1 Parent Brand: ReazLab</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ReazLab is a pure software company specializing in AI, data, and cognitive innovation. As the parent entity, ReazLab provides Beamo with the technical credibility, engineering infrastructure, and strategic vision necessary to compete in the highly competitive digital payments space. The ReazLab brand is positioned as an innovation laboratory — a place where ambitious software products are conceived, built, and scaled with engineering rigor and creative ambition.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relationship between ReazLab and Beamo mirrors successful parent-product brand architectures such as Alphabet/Google or Meta/Instagram: the parent provides institutional credibility and resources, while the product brand carries the consumer-facing identity, personality, and emotional connection.</w:t>
      </w:r>
    </w:p>
    <w:p>
      <w:pPr>
        <w:pStyle w:val="Heading2"/>
        <w:spacing w:after="120" w:before="360" w:line="312" w:lineRule="auto"/>
      </w:pPr>
      <w:r>
        <w:rPr>
          <w:rFonts w:ascii="Calibri" w:cs="Calibri" w:eastAsia="Calibri" w:hAnsi="Calibri"/>
          <w:color w:val="1A1A1A"/>
          <w:sz w:val="36"/>
          <w:szCs w:val="36"/>
        </w:rPr>
        <w:t xml:space="preserve">2.2 Product Brand: Beamo</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Beamo brand is designed to be instantly recognizable, inherently shareable, and linguistically versatile. The name “Beamo” is short, phonetically distinctive, and functions naturally as a verb — “Just Beamo me” — which is critical for organic word-of-mouth adoption. The brand personality balances playfulness with professionalism: approachable enough for peer-to-peer splitting of a dinner tab, yet credible enough for a freelancer invoicing a Fortune 500 client.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Brand Attribute</w:t>
            </w:r>
          </w:p>
        </w:tc>
        <w:tc>
          <w:tcPr>
            <w:tcW w:type="pct" w:w="8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Specification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Tagline</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“Just Beamo me”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Brand Personality</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Fast, trustworthy, playful yet professional, modern, empowering</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Logo Style</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High-contrast, readable wordmark. Multiple layout options: horizontal, stacked, icon-only. No gradient text in wordmarks. Clean geometric icon that works at 16px favicon size.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Brand Voice</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Conversational, confident, empowering. Sample copy: “Send it. Split it. Beamo it.”</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Naming Convention</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Product tiers use “Beamo” as prefix: Beamo Free, Beamo Pro, Beamo Business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2.3 Color Palette &amp; Visual Identity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Beamo's color palette is deliberately chosen to differentiate from every major competitor in the digital payments space. Venmo owns blue. CashApp owns green. Zelle owns purple. PayPal owns dark blue and gold. Beamo claims a warm, energetic palette — anchored in vibrant orange and coral tones — that conveys speed, warmth, optimism, and approachability. This palette is unique in the payments category and ensures instant visual differentiation across app stores, social media, and marketing materials.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Color Role</w:t>
            </w:r>
          </w:p>
        </w:tc>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Hex Value</w:t>
            </w:r>
          </w:p>
        </w:tc>
        <w:tc>
          <w:tcPr>
            <w:tcW w:type="pct" w:w="6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Usage</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Primary Orange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#FF6B35</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Primary brand color, CTA buttons, logo, app icon</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Warm Coral</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#FF8C61</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Secondary actions, hover states, illustrations</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Deep Navy</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#1B2A4A</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Text, headers, trust-building elements</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Soft Cream</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#FFF5EC</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Backgrounds, cards, content areas</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Success Green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#2ECC71</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Payment confirmations, success states</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Alert Red</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#E74C3C</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Errors, warnings, critical actions</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Neutral Gray</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#95A5A6</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Disabled states, secondary text, borders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2.4 Typography &amp; Voice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Beamo employs a clean sans-serif typeface system for all user interface elements, ensuring maximum readability across devices, screen sizes, and operating systems. Marketing materials and display contexts use a bold, geometric display font that reinforces the brand's modern, confident personality. All typographic choices are optimized for both digital screens and print materials, maintaining legibility at sizes as small as 10 pixels for mobile labels and as large as 72 pixels for hero headings.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brand voice is conversational and confident without being casual or flippant. It speaks directly to the user with second-person language, uses active verbs, and avoids jargon. Every piece of copy — from error messages to marketing emails — should feel like it was written by a smart, helpful friend who also happens to understand payments technology.</w:t>
      </w:r>
    </w:p>
    <w:p>
      <w:pPr>
        <w:pStyle w:val="Heading2"/>
        <w:spacing w:after="120" w:before="360" w:line="312" w:lineRule="auto"/>
      </w:pPr>
      <w:r>
        <w:rPr>
          <w:rFonts w:ascii="Calibri" w:cs="Calibri" w:eastAsia="Calibri" w:hAnsi="Calibri"/>
          <w:color w:val="1A1A1A"/>
          <w:sz w:val="36"/>
          <w:szCs w:val="36"/>
        </w:rPr>
        <w:t xml:space="preserve">2.5 Asset Requirements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brand assets are required prior to public launch, and must be completed during Phase 1 (Foundation) of the product roadmap:</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logos delivered in both vector (source files) and raster formats (PNG at 1x, 2x, and 3x resolutions)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Horizontal wordmark, stacked wordmark, and standalone icon variants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Full-color, single-color (black), and reversed (white) versions of each variant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Favicon set: 16x16, 32x32, 180x180 (Apple Touch), 192x192 and 512x512 (Android)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Social media profile images and cover images for: Twitter/X, Instagram, LinkedIn, Facebook, TikTok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Open Graph (OG) image template for payment link sharing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App Store and Google Play Store listing assets (screenshots, feature graphics)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Brand guidelines PDF documenting all color, typography, spacing, and usage rules</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3. Target Market &amp; User Personas</w:t>
      </w:r>
    </w:p>
    <w:p>
      <w:pPr>
        <w:pStyle w:val="Heading2"/>
        <w:spacing w:after="120" w:before="360" w:line="312" w:lineRule="auto"/>
      </w:pPr>
      <w:r>
        <w:rPr>
          <w:rFonts w:ascii="Calibri" w:cs="Calibri" w:eastAsia="Calibri" w:hAnsi="Calibri"/>
          <w:color w:val="1A1A1A"/>
          <w:sz w:val="36"/>
          <w:szCs w:val="36"/>
        </w:rPr>
        <w:t xml:space="preserve">3.1 Primary User Personas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Beamo's product design is driven by five distinct user personas, each representing a high-value segment of the digital payments market. These personas inform feature prioritization, onboarding flows, marketing messaging, and pricing tier design. Every feature in the product backlog must serve at least one primary persona; features that serve multiple personas receive higher priority.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Persona</w:t>
            </w:r>
          </w:p>
        </w:tc>
        <w:tc>
          <w:tcPr>
            <w:tcW w:type="pct" w:w="2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Profile</w:t>
            </w:r>
          </w:p>
        </w:tc>
        <w:tc>
          <w:tcPr>
            <w:tcW w:type="pct" w:w="3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Needs &amp; Pain Points</w:t>
            </w:r>
          </w:p>
        </w:tc>
        <w:tc>
          <w:tcPr>
            <w:tcW w:type="pct" w:w="2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Beamo Solution</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Freelancer Fiona</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Independent contractor, invoices 5–15 clients/month, earns $50K–$150K/year</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Needs fast payment links, low transparent fees, professional appearance for client-facing invoices, and simple tax-ready transaction exports</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Branded payment links, Beamo Pro with custom branding, instant CSV/JSON export, professional invoice generation</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Small Biz Sam</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Runs a local service business (cleaning, tutoring, repair), 20–100 transactions/month</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Wants to text a payment link instead of carrying a card reader, needs simple record-keeping, and team access for employees</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SMS-shareable payment links, Beamo Business with team accounts, transaction dashboard, recurring billing</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Creator Carlos</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Content creator accepting tips, donations, and paid content, audience of 5K–500K followers</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Needs embeddable payment widgets, referral tracking, tip jar functionality, and integration with content platforms</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Embeddable widgets, referral dashboard, tip jar with customizable amounts, social sharing integration</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Peer-to-Peer Priya</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Young professional who splits rent, dinner, and group gifts regularly</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Wants Venmo-like simplicity with better privacy controls, no social feed of transactions, instant settlement</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Private-by-default transactions, group payment splitting, instant payment links via iMessage/WhatsApp</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Startup Steve</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Early-stage founder integrating payments into their own product, technical background</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Needs comprehensive API access, sandbox environment, webhook integrations, white-label payment flows</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Beamo Business/Enterprise API, full documentation with interactive playground, sandbox mirroring production</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3.2 Market Sizing: TAM / SAM / SOM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Beamo operates at the intersection of peer-to-peer payments, freelancer/SMB invoicing, and creator economy monetization — three of the fastest-growing segments in digital finance. The following market sizing analysis provides a grounded foundation for revenue projections and investor discussions.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Metric</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Value</w:t>
            </w:r>
          </w:p>
        </w:tc>
        <w:tc>
          <w:tcPr>
            <w:tcW w:type="pct" w:w="7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Definition &amp; Rationale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TAM</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~$2.5 Trillion</w:t>
            </w:r>
          </w:p>
        </w:tc>
        <w:tc>
          <w:tcPr>
            <w:tcW w:type="pct" w:w="7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Total US digital payments volume, encompassing all electronic payment transactions including card payments, digital wallets, P2P transfers, and online invoicing. This represents the broadest addressable universe.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SAM</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~$150 Billion</w:t>
            </w:r>
          </w:p>
        </w:tc>
        <w:tc>
          <w:tcPr>
            <w:tcW w:type="pct" w:w="7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US P2P payments + freelancer/SMB digital invoicing + creator economy payments. This narrows to the segments Beamo directly serves: individual-to-individual transfers, small business payment collection, and creator monetization.</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SOM</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~$500 Million</w:t>
            </w:r>
          </w:p>
        </w:tc>
        <w:tc>
          <w:tcPr>
            <w:tcW w:type="pct" w:w="7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Realistically addressable market in years 1–3 based on organic growth, referral virality, and initial market penetration among US freelancers, local businesses, and content creators in English-speaking digital communities.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3.3 Competitive Landscape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Understanding the competitive landscape is essential for positioning Beamo's unique advantages. The following table compares Beamo against the five most relevant competitors across key dimensions that matter to users, partners, and investors.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Feature / Dimension</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Beamo</w:t>
            </w:r>
          </w:p>
        </w:tc>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Venmo</w:t>
            </w:r>
          </w:p>
        </w:tc>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CashApp</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Zelle</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PayPal.me</w:t>
            </w:r>
          </w:p>
        </w:tc>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Stripe Links</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Viral Referral Engine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Built-in, double-sided, tiered ambassador program</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Basic referral bonus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Basic referral bonus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None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None</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None</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Business Tools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Invoicing, recurring billing, team accounts, analytics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Venmo Business (limited)</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Cash for Business (limited)</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None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Basic invoicing</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Comprehensive (developer-focused)</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API Access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REST API, SDKs, webhooks, sandbox</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public API</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public API</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Bank-integrated only</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PayPal APIs (complex)</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Industry-leading API</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Payment Risk Model</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Zero risk — orchestration only, never holds funds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Holds funds (licensed MSB)</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Holds funds (licensed MSB)</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Bank-to-bank (bank risk)</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Holds funds (licensed MSB)</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Processor (holds funds)</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Monetization</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Fee overlay + subscriptions + partner rev share + API licensing</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Instant transfer fees, merchant fees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Bitcoin, instant transfer, Cash Card</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Free to consumers, bank-funded</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Transaction fees</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Transaction fees (2.9% + $0.30)</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Privacy</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Private-by-default, no social feed</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Public social feed (opt-out)</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Private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Private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Private</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Private</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Embeddable Widgets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 — tip jars, payment buttons, inline checkout</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Limited (PayPal buttons)</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 (Payment Links, Elements)</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White-Label Option</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 (Enterprise tier)</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 (Stripe Connect)</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 Competitive Advantage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Beamo uniquely combines the simplicity and virality of consumer P2P apps (Venmo, CashApp) with the business-grade tools and API extensibility of developer platforms (Stripe) — all while maintaining zero payment risk through its orchestration-only architecture. No existing competitor offers this combination.</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4. Core Product Architecture</w:t>
      </w:r>
    </w:p>
    <w:p>
      <w:pPr>
        <w:pStyle w:val="Heading2"/>
        <w:spacing w:after="120" w:before="360" w:line="312" w:lineRule="auto"/>
      </w:pPr>
      <w:r>
        <w:rPr>
          <w:rFonts w:ascii="Calibri" w:cs="Calibri" w:eastAsia="Calibri" w:hAnsi="Calibri"/>
          <w:color w:val="1A1A1A"/>
          <w:sz w:val="36"/>
          <w:szCs w:val="36"/>
        </w:rPr>
        <w:t xml:space="preserve">4.1 System Overview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Beamo is a multi-tenant SaaS platform designed for high scalability, real-time responsiveness, and rapid feature iteration. The system is composed of a React/Next.js frontend delivering a progressive web application and native mobile experiences, a backend powered by Supabase (managed PostgreSQL with authentication, real-time subscriptions, Row Level Security, edge functions, and object storage), and a payment orchestration layer that abstracts third-party payment processor integrations behind a unified internal API.</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architecture follows API-first principles: every feature available through the user interface is also accessible via a documented REST API, enabling third-party developers, partner platforms, and enterprise clients to build on top of Beamo's infrastructure. This architectural philosophy ensures that the platform can serve both direct consumers and B2B2C distribution channels without maintaining separate codebases.</w:t>
      </w:r>
    </w:p>
    <w:p>
      <w:pPr>
        <w:pStyle w:val="Heading2"/>
        <w:spacing w:after="120" w:before="360" w:line="312" w:lineRule="auto"/>
      </w:pPr>
      <w:r>
        <w:rPr>
          <w:rFonts w:ascii="Calibri" w:cs="Calibri" w:eastAsia="Calibri" w:hAnsi="Calibri"/>
          <w:color w:val="1A1A1A"/>
          <w:sz w:val="36"/>
          <w:szCs w:val="36"/>
        </w:rPr>
        <w:t xml:space="preserve">4.2 Key Architectural Decisions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table documents the critical technology choices made for Beamo's infrastructure, the alternatives evaluated, and the rationale behind each decision. These decisions are foundational and have been made with consideration for the platform's growth trajectory from MVP through scale.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Decision</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Choice</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Alternatives Evaluated</w:t>
            </w:r>
          </w:p>
        </w:tc>
        <w:tc>
          <w:tcPr>
            <w:tcW w:type="pct" w:w="6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Rationale</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Backend Platform</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Supabase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PocketBase, Firebase, custom Node.js</w:t>
            </w:r>
          </w:p>
        </w:tc>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Supabase provides superior scalability over PocketBase (which uses SQLite), real-time subscriptions critical for payment notifications, Row Level Security for multi-tenant data isolation, built-in auth with OAuth/magic link/phone OTP, edge functions for serverless business logic, and managed PostgreSQL with enterprise-grade reliability. Supabase's open-source foundation and SQL-based approach avoid vendor lock-in risks associated with Firebase.</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Frontend Framework</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Next.js + React</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Remix, SvelteKit, Vue/Nuxt</w:t>
            </w:r>
          </w:p>
        </w:tc>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Next.js provides server-side rendering for SEO (critical for payment link previews and marketing pages), app-like interactivity through React's component model, optimized mobile-first design through its built-in image optimization and code splitting, and the largest ecosystem of compatible libraries and developer talent.</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Payment Architecture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Orchestration Layer (never holds funds)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Direct processing, payment facilitator model</w:t>
            </w:r>
          </w:p>
        </w:tc>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Eliminates PCI DSS scope (SAQ-A only), removes money transmitter licensing requirements, eliminates chargeback liability, reduces regulatory complexity to near-zero, and enables faster time-to-market. Beamo captures value through fee overlays and subscriptions rather than fund custody.</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Mobile Strategy</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React Native (Expo) + PWA</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Native Swift/Kotlin, Flutter</w:t>
            </w:r>
          </w:p>
        </w:tc>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Maximizes code sharing with the Next.js web app, enables a single engineering team to maintain all platforms, Expo provides managed build and OTA update capabilities, and PWA provides immediate mobile access before native app store approval.</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API Design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REST-first with optional GraphQL</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GraphQL-only, gRPC</w:t>
            </w:r>
          </w:p>
        </w:tc>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REST via Supabase PostgREST provides auto-generated, type-safe APIs with minimal configuration. GraphQL available as an optional layer for partners needing flexible query patterns. REST is more accessible to the broadest range of partner developers.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4.3 Architecture Layers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Beamo platform is organized into seven distinct architectural layers, each with clear responsibilities, interfaces, and scalability characteristics. This layered approach ensures separation of concerns, independent scalability of components, and the ability to replace or upgrade individual layers without system-wide refactoring.</w:t>
      </w:r>
    </w:p>
    <w:p>
      <w:pPr>
        <w:spacing w:after="120" w:before="60" w:line="360" w:lineRule="auto"/>
      </w:pPr>
      <w:r>
        <w:rPr>
          <w:rFonts w:ascii="Calibri" w:cs="Calibri" w:eastAsia="Calibri" w:hAnsi="Calibri"/>
          <w:b/>
          <w:bCs/>
          <w:i w:val="false"/>
          <w:iCs w:val="false"/>
          <w:strike w:val="false"/>
          <w:color w:val="000000"/>
          <w:sz w:val="22"/>
          <w:szCs w:val="22"/>
        </w:rPr>
        <w:t xml:space="preserve">Layer 1 — Presentation Layer (Next.js, React Native).</w:t>
      </w:r>
      <w:r>
        <w:rPr>
          <w:rFonts w:ascii="Calibri" w:cs="Calibri" w:eastAsia="Calibri" w:hAnsi="Calibri"/>
          <w:b w:val="false"/>
          <w:bCs w:val="false"/>
          <w:i w:val="false"/>
          <w:iCs w:val="false"/>
          <w:strike w:val="false"/>
          <w:color w:val="000000"/>
          <w:sz w:val="22"/>
          <w:szCs w:val="22"/>
        </w:rPr>
        <w:t xml:space="preserve"> This is the user-facing layer encompassing the web application (Next.js with server-side rendering and static site generation), the progressive web app (PWA with service worker for offline payment history viewing), and native mobile applications (React Native via Expo for iOS and Android). The presentation layer communicates exclusively through the API Gateway and never directly accesses the database or payment processors. All UI components are built with a shared design system ensuring visual consistency across platforms.</w:t>
      </w:r>
    </w:p>
    <w:p>
      <w:pPr>
        <w:spacing w:after="120" w:before="60" w:line="360" w:lineRule="auto"/>
      </w:pPr>
      <w:r>
        <w:rPr>
          <w:rFonts w:ascii="Calibri" w:cs="Calibri" w:eastAsia="Calibri" w:hAnsi="Calibri"/>
          <w:b/>
          <w:bCs/>
          <w:i w:val="false"/>
          <w:iCs w:val="false"/>
          <w:strike w:val="false"/>
          <w:color w:val="000000"/>
          <w:sz w:val="22"/>
          <w:szCs w:val="22"/>
        </w:rPr>
        <w:t xml:space="preserve">Layer 2 — API Gateway.</w:t>
      </w:r>
      <w:r>
        <w:rPr>
          <w:rFonts w:ascii="Calibri" w:cs="Calibri" w:eastAsia="Calibri" w:hAnsi="Calibri"/>
          <w:b w:val="false"/>
          <w:bCs w:val="false"/>
          <w:i w:val="false"/>
          <w:iCs w:val="false"/>
          <w:strike w:val="false"/>
          <w:color w:val="000000"/>
          <w:sz w:val="22"/>
          <w:szCs w:val="22"/>
        </w:rPr>
        <w:t xml:space="preserve"> The API Gateway serves as the single entry point for all client requests, whether from the web app, mobile apps, partner integrations, or third-party API consumers. It handles rate limiting (configurable per API key and endpoint), authentication token validation, request routing to appropriate backend services, request/response logging for audit purposes, and API versioning to ensure backward compatibility as the platform evolves.</w:t>
      </w:r>
    </w:p>
    <w:p>
      <w:pPr>
        <w:spacing w:after="120" w:before="60" w:line="360" w:lineRule="auto"/>
      </w:pPr>
      <w:r>
        <w:rPr>
          <w:rFonts w:ascii="Calibri" w:cs="Calibri" w:eastAsia="Calibri" w:hAnsi="Calibri"/>
          <w:b/>
          <w:bCs/>
          <w:i w:val="false"/>
          <w:iCs w:val="false"/>
          <w:strike w:val="false"/>
          <w:color w:val="000000"/>
          <w:sz w:val="22"/>
          <w:szCs w:val="22"/>
        </w:rPr>
        <w:t xml:space="preserve">Layer 3 — Business Logic Layer (Supabase Edge Functions).</w:t>
      </w:r>
      <w:r>
        <w:rPr>
          <w:rFonts w:ascii="Calibri" w:cs="Calibri" w:eastAsia="Calibri" w:hAnsi="Calibri"/>
          <w:b w:val="false"/>
          <w:bCs w:val="false"/>
          <w:i w:val="false"/>
          <w:iCs w:val="false"/>
          <w:strike w:val="false"/>
          <w:color w:val="000000"/>
          <w:sz w:val="22"/>
          <w:szCs w:val="22"/>
        </w:rPr>
        <w:t xml:space="preserve"> Business logic is implemented as Deno-based edge functions running on Supabase's globally distributed edge network. This layer handles referral credit calculations, subscription tier enforcement, fee computation, partner revenue share calculations, and all domain-specific workflows that go beyond simple CRUD operations. Edge functions execute close to users geographically, minimizing latency for time-sensitive operations like payment link generation.</w:t>
      </w:r>
    </w:p>
    <w:p>
      <w:pPr>
        <w:spacing w:after="120" w:before="60" w:line="360" w:lineRule="auto"/>
      </w:pPr>
      <w:r>
        <w:rPr>
          <w:rFonts w:ascii="Calibri" w:cs="Calibri" w:eastAsia="Calibri" w:hAnsi="Calibri"/>
          <w:b/>
          <w:bCs/>
          <w:i w:val="false"/>
          <w:iCs w:val="false"/>
          <w:strike w:val="false"/>
          <w:color w:val="000000"/>
          <w:sz w:val="22"/>
          <w:szCs w:val="22"/>
        </w:rPr>
        <w:t xml:space="preserve">Layer 4 — Payment Orchestration Layer.</w:t>
      </w:r>
      <w:r>
        <w:rPr>
          <w:rFonts w:ascii="Calibri" w:cs="Calibri" w:eastAsia="Calibri" w:hAnsi="Calibri"/>
          <w:b w:val="false"/>
          <w:bCs w:val="false"/>
          <w:i w:val="false"/>
          <w:iCs w:val="false"/>
          <w:strike w:val="false"/>
          <w:color w:val="000000"/>
          <w:sz w:val="22"/>
          <w:szCs w:val="22"/>
        </w:rPr>
        <w:t xml:space="preserve"> The Payment Orchestration Layer is Beamo's core differentiator. It provides a unified abstraction over multiple payment processors (Stripe Connect as primary, PayPal as secondary, with future support for Apple Pay, Google Pay, and ACH direct). This layer manages processor selection based on user preference and availability, transaction state management with idempotent operations, webhook ingestion and verification with cryptographic signature validation, and graceful failover with circuit breaker patterns when a processor experiences downtime.</w:t>
      </w:r>
    </w:p>
    <w:p>
      <w:pPr>
        <w:spacing w:after="120" w:before="60" w:line="360" w:lineRule="auto"/>
      </w:pPr>
      <w:r>
        <w:rPr>
          <w:rFonts w:ascii="Calibri" w:cs="Calibri" w:eastAsia="Calibri" w:hAnsi="Calibri"/>
          <w:b/>
          <w:bCs/>
          <w:i w:val="false"/>
          <w:iCs w:val="false"/>
          <w:strike w:val="false"/>
          <w:color w:val="000000"/>
          <w:sz w:val="22"/>
          <w:szCs w:val="22"/>
        </w:rPr>
        <w:t xml:space="preserve">Layer 5 — Data Layer (Supabase PostgreSQL + RLS).</w:t>
      </w:r>
      <w:r>
        <w:rPr>
          <w:rFonts w:ascii="Calibri" w:cs="Calibri" w:eastAsia="Calibri" w:hAnsi="Calibri"/>
          <w:b w:val="false"/>
          <w:bCs w:val="false"/>
          <w:i w:val="false"/>
          <w:iCs w:val="false"/>
          <w:strike w:val="false"/>
          <w:color w:val="000000"/>
          <w:sz w:val="22"/>
          <w:szCs w:val="22"/>
        </w:rPr>
        <w:t xml:space="preserve"> All persistent data is stored in managed PostgreSQL with Row Level Security policies enforced at the database level. RLS ensures that users can only access their own data, even if application-level authorization is bypassed — providing defense-in-depth for multi-tenant data isolation. The data layer supports point-in-time recovery (PITR), daily snapshots, and is configured for cross-region replication to ensure durability and disaster recovery.</w:t>
      </w:r>
    </w:p>
    <w:p>
      <w:pPr>
        <w:spacing w:after="120" w:before="60" w:line="360" w:lineRule="auto"/>
      </w:pPr>
      <w:r>
        <w:rPr>
          <w:rFonts w:ascii="Calibri" w:cs="Calibri" w:eastAsia="Calibri" w:hAnsi="Calibri"/>
          <w:b/>
          <w:bCs/>
          <w:i w:val="false"/>
          <w:iCs w:val="false"/>
          <w:strike w:val="false"/>
          <w:color w:val="000000"/>
          <w:sz w:val="22"/>
          <w:szCs w:val="22"/>
        </w:rPr>
        <w:t xml:space="preserve">Layer 6 — Notification Engine (Supabase Realtime + Push).</w:t>
      </w:r>
      <w:r>
        <w:rPr>
          <w:rFonts w:ascii="Calibri" w:cs="Calibri" w:eastAsia="Calibri" w:hAnsi="Calibri"/>
          <w:b w:val="false"/>
          <w:bCs w:val="false"/>
          <w:i w:val="false"/>
          <w:iCs w:val="false"/>
          <w:strike w:val="false"/>
          <w:color w:val="000000"/>
          <w:sz w:val="22"/>
          <w:szCs w:val="22"/>
        </w:rPr>
        <w:t xml:space="preserve"> The notification engine leverages Supabase Realtime for in-app notifications (payment received, referral converted, subscription renewed) and integrates with push notification services (Apple Push Notification Service, Firebase Cloud Messaging) for mobile alerts. Email notifications are handled through a transactional email provider (such as Resend or Postmark) for delivery reliability and deliverability optimization.</w:t>
      </w:r>
    </w:p>
    <w:p>
      <w:pPr>
        <w:spacing w:after="120" w:before="60" w:line="360" w:lineRule="auto"/>
      </w:pPr>
      <w:r>
        <w:rPr>
          <w:rFonts w:ascii="Calibri" w:cs="Calibri" w:eastAsia="Calibri" w:hAnsi="Calibri"/>
          <w:b/>
          <w:bCs/>
          <w:i w:val="false"/>
          <w:iCs w:val="false"/>
          <w:strike w:val="false"/>
          <w:color w:val="000000"/>
          <w:sz w:val="22"/>
          <w:szCs w:val="22"/>
        </w:rPr>
        <w:t xml:space="preserve">Layer 7 — Analytics &amp; Telemetry Layer.</w:t>
      </w:r>
      <w:r>
        <w:rPr>
          <w:rFonts w:ascii="Calibri" w:cs="Calibri" w:eastAsia="Calibri" w:hAnsi="Calibri"/>
          <w:b w:val="false"/>
          <w:bCs w:val="false"/>
          <w:i w:val="false"/>
          <w:iCs w:val="false"/>
          <w:strike w:val="false"/>
          <w:color w:val="000000"/>
          <w:sz w:val="22"/>
          <w:szCs w:val="22"/>
        </w:rPr>
        <w:t xml:space="preserve"> This layer collects and processes product analytics (feature usage, funnel metrics, user behavior), business metrics (revenue, MRR, churn, LTV), and infrastructure telemetry (API latency, error rates, resource utilization). Data flows into an analytics pipeline for dashboard visualization, alerting, and decision support. Privacy-first analytics ensure compliance with GDPR and CCPA from day one.</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5. Monetization Model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Beamo's revenue model is engineered for </w:t>
      </w:r>
      <w:r>
        <w:rPr>
          <w:rFonts w:ascii="Calibri" w:cs="Calibri" w:eastAsia="Calibri" w:hAnsi="Calibri"/>
          <w:b/>
          <w:bCs/>
          <w:i w:val="false"/>
          <w:iCs w:val="false"/>
          <w:strike w:val="false"/>
          <w:color w:val="000000"/>
          <w:sz w:val="22"/>
          <w:szCs w:val="22"/>
        </w:rPr>
        <w:t xml:space="preserve">zero payment risk</w:t>
      </w:r>
      <w:r>
        <w:rPr>
          <w:rFonts w:ascii="Calibri" w:cs="Calibri" w:eastAsia="Calibri" w:hAnsi="Calibri"/>
          <w:b w:val="false"/>
          <w:bCs w:val="false"/>
          <w:i w:val="false"/>
          <w:iCs w:val="false"/>
          <w:strike w:val="false"/>
          <w:color w:val="000000"/>
          <w:sz w:val="22"/>
          <w:szCs w:val="22"/>
        </w:rPr>
        <w:t xml:space="preserve"> — the platform never holds, stores, or processes funds directly. All revenue is generated through value-added services, transparent fee overlays, and subscription-based access to premium features. This model aligns Beamo's financial incentives with user success: the platform earns more as users transact more, grow their businesses, and derive greater value from the platform.</w:t>
      </w:r>
    </w:p>
    <w:p>
      <w:pPr>
        <w:pStyle w:val="Heading2"/>
        <w:spacing w:after="120" w:before="360" w:line="312" w:lineRule="auto"/>
      </w:pPr>
      <w:r>
        <w:rPr>
          <w:rFonts w:ascii="Calibri" w:cs="Calibri" w:eastAsia="Calibri" w:hAnsi="Calibri"/>
          <w:color w:val="1A1A1A"/>
          <w:sz w:val="36"/>
          <w:szCs w:val="36"/>
        </w:rPr>
        <w:t xml:space="preserve">5.1 Revenue Stream Overview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Beamo generates revenue through five complementary streams, each designed to contribute meaningfully at different stages of the platform's growth. Early-stage revenue is dominated by transaction fee overlays; at scale, subscription and partner revenue become increasingly significant, reducing dependence on any single stream.</w:t>
      </w:r>
    </w:p>
    <w:p>
      <w:pPr>
        <w:spacing w:after="120" w:before="60" w:line="360" w:lineRule="auto"/>
      </w:pPr>
      <w:r>
        <w:rPr>
          <w:rFonts w:ascii="Calibri" w:cs="Calibri" w:eastAsia="Calibri" w:hAnsi="Calibri"/>
          <w:b/>
          <w:bCs/>
          <w:i w:val="false"/>
          <w:iCs w:val="false"/>
          <w:strike w:val="false"/>
          <w:color w:val="000000"/>
          <w:sz w:val="22"/>
          <w:szCs w:val="22"/>
        </w:rPr>
        <w:t xml:space="preserve">Stream 1: Transaction Fee Overlay.</w:t>
      </w:r>
      <w:r>
        <w:rPr>
          <w:rFonts w:ascii="Calibri" w:cs="Calibri" w:eastAsia="Calibri" w:hAnsi="Calibri"/>
          <w:b w:val="false"/>
          <w:bCs w:val="false"/>
          <w:i w:val="false"/>
          <w:iCs w:val="false"/>
          <w:strike w:val="false"/>
          <w:color w:val="000000"/>
          <w:sz w:val="22"/>
          <w:szCs w:val="22"/>
        </w:rPr>
        <w:t xml:space="preserve"> Beamo adds a small, fully transparent platform fee on top of the underlying payment processor's fee. This fee is clearly displayed to users before they confirm any transaction, with a complete breakdown showing the processor fee (e.g., Stripe's 2.9% + $0.30) and the Beamo platform fee (e.g., 0.5%–1.5%, depending on subscription tier) as separate line items. The overlay percentage is configurable by tier: Free tier users pay 1.5%, Pro users pay 0.75%, and Business users pay 0.5%. Enterprise clients negotiate custom rates.</w:t>
      </w:r>
    </w:p>
    <w:p>
      <w:pPr>
        <w:spacing w:after="120" w:before="60" w:line="360" w:lineRule="auto"/>
      </w:pPr>
      <w:r>
        <w:rPr>
          <w:rFonts w:ascii="Calibri" w:cs="Calibri" w:eastAsia="Calibri" w:hAnsi="Calibri"/>
          <w:b/>
          <w:bCs/>
          <w:i w:val="false"/>
          <w:iCs w:val="false"/>
          <w:strike w:val="false"/>
          <w:color w:val="000000"/>
          <w:sz w:val="22"/>
          <w:szCs w:val="22"/>
        </w:rPr>
        <w:t xml:space="preserve">Stream 2: Premium Subscriptions.</w:t>
      </w:r>
      <w:r>
        <w:rPr>
          <w:rFonts w:ascii="Calibri" w:cs="Calibri" w:eastAsia="Calibri" w:hAnsi="Calibri"/>
          <w:b w:val="false"/>
          <w:bCs w:val="false"/>
          <w:i w:val="false"/>
          <w:iCs w:val="false"/>
          <w:strike w:val="false"/>
          <w:color w:val="000000"/>
          <w:sz w:val="22"/>
          <w:szCs w:val="22"/>
        </w:rPr>
        <w:t xml:space="preserve"> Subscription tiers provide predictable, recurring revenue while incentivizing users to upgrade for enhanced features, higher volume limits, and lower transaction fees. Detailed tier specifications are provided in Section 5.2 below.</w:t>
      </w:r>
    </w:p>
    <w:p>
      <w:pPr>
        <w:spacing w:after="120" w:before="60" w:line="360" w:lineRule="auto"/>
      </w:pPr>
      <w:r>
        <w:rPr>
          <w:rFonts w:ascii="Calibri" w:cs="Calibri" w:eastAsia="Calibri" w:hAnsi="Calibri"/>
          <w:b/>
          <w:bCs/>
          <w:i w:val="false"/>
          <w:iCs w:val="false"/>
          <w:strike w:val="false"/>
          <w:color w:val="000000"/>
          <w:sz w:val="22"/>
          <w:szCs w:val="22"/>
        </w:rPr>
        <w:t xml:space="preserve">Stream 3: Partner Revenue Share.</w:t>
      </w:r>
      <w:r>
        <w:rPr>
          <w:rFonts w:ascii="Calibri" w:cs="Calibri" w:eastAsia="Calibri" w:hAnsi="Calibri"/>
          <w:b w:val="false"/>
          <w:bCs w:val="false"/>
          <w:i w:val="false"/>
          <w:iCs w:val="false"/>
          <w:strike w:val="false"/>
          <w:color w:val="000000"/>
          <w:sz w:val="22"/>
          <w:szCs w:val="22"/>
        </w:rPr>
        <w:t xml:space="preserve"> Revenue generated through the Partner Platform Engine (detailed in Section 6) is shared between Beamo and its integration partners. Beamo retains 70–85% of platform fees on partner-originated transactions, with the partner receiving 15–30% depending on their tier. This creates a scalable B2B2C distribution channel where partners are incentivized to drive volume through their integrations.</w:t>
      </w:r>
    </w:p>
    <w:p>
      <w:pPr>
        <w:spacing w:after="120" w:before="60" w:line="360" w:lineRule="auto"/>
      </w:pPr>
      <w:r>
        <w:rPr>
          <w:rFonts w:ascii="Calibri" w:cs="Calibri" w:eastAsia="Calibri" w:hAnsi="Calibri"/>
          <w:b/>
          <w:bCs/>
          <w:i w:val="false"/>
          <w:iCs w:val="false"/>
          <w:strike w:val="false"/>
          <w:color w:val="000000"/>
          <w:sz w:val="22"/>
          <w:szCs w:val="22"/>
        </w:rPr>
        <w:t xml:space="preserve">Stream 4: Premium Features à la Carte.</w:t>
      </w:r>
      <w:r>
        <w:rPr>
          <w:rFonts w:ascii="Calibri" w:cs="Calibri" w:eastAsia="Calibri" w:hAnsi="Calibri"/>
          <w:b w:val="false"/>
          <w:bCs w:val="false"/>
          <w:i w:val="false"/>
          <w:iCs w:val="false"/>
          <w:strike w:val="false"/>
          <w:color w:val="000000"/>
          <w:sz w:val="22"/>
          <w:szCs w:val="22"/>
        </w:rPr>
        <w:t xml:space="preserve"> Certain high-value features are available as individual purchases rather than requiring a full subscription upgrade. These include instant payouts ($0.50 per payout, bypassing standard settlement timing), scheduled and recurring payments ($0.25 per scheduled instance for Free users, included in Pro/Business), and professional invoice generation ($1.00 per invoice for Free users, included in Pro/Business).</w:t>
      </w:r>
    </w:p>
    <w:p>
      <w:pPr>
        <w:spacing w:after="120" w:before="60" w:line="360" w:lineRule="auto"/>
      </w:pPr>
      <w:r>
        <w:rPr>
          <w:rFonts w:ascii="Calibri" w:cs="Calibri" w:eastAsia="Calibri" w:hAnsi="Calibri"/>
          <w:b/>
          <w:bCs/>
          <w:i w:val="false"/>
          <w:iCs w:val="false"/>
          <w:strike w:val="false"/>
          <w:color w:val="000000"/>
          <w:sz w:val="22"/>
          <w:szCs w:val="22"/>
        </w:rPr>
        <w:t xml:space="preserve">Stream 5: Enterprise/API Licensing.</w:t>
      </w:r>
      <w:r>
        <w:rPr>
          <w:rFonts w:ascii="Calibri" w:cs="Calibri" w:eastAsia="Calibri" w:hAnsi="Calibri"/>
          <w:b w:val="false"/>
          <w:bCs w:val="false"/>
          <w:i w:val="false"/>
          <w:iCs w:val="false"/>
          <w:strike w:val="false"/>
          <w:color w:val="000000"/>
          <w:sz w:val="22"/>
          <w:szCs w:val="22"/>
        </w:rPr>
        <w:t xml:space="preserve"> Custom pricing for startups and businesses embedding Beamo's payment orchestration into their own products. Enterprise licensing includes dedicated infrastructure, custom SLAs, priority support, and negotiated transaction rates. Target average contract value: $2,000–$10,000 per month.</w:t>
      </w:r>
    </w:p>
    <w:p>
      <w:pPr>
        <w:pStyle w:val="Heading2"/>
        <w:spacing w:after="120" w:before="360" w:line="312" w:lineRule="auto"/>
      </w:pPr>
      <w:r>
        <w:rPr>
          <w:rFonts w:ascii="Calibri" w:cs="Calibri" w:eastAsia="Calibri" w:hAnsi="Calibri"/>
          <w:color w:val="1A1A1A"/>
          <w:sz w:val="36"/>
          <w:szCs w:val="36"/>
        </w:rPr>
        <w:t xml:space="preserve">5.2 Subscription Tiers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Feature</w:t>
            </w:r>
          </w:p>
        </w:tc>
        <w:tc>
          <w:tcPr>
            <w:tcW w:type="pct" w:w="2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Beamo Free</w:t>
            </w:r>
          </w:p>
        </w:tc>
        <w:tc>
          <w:tcPr>
            <w:tcW w:type="pct" w:w="2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Beamo Pro ($9.99/mo)</w:t>
            </w:r>
          </w:p>
        </w:tc>
        <w:tc>
          <w:tcPr>
            <w:tcW w:type="pct" w:w="2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Beamo Business ($29.99/mo)</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Monthly Volume Limit</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Up to $5,000</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Up to $25,000</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Unlimited</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Platform Fee Overlay</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0.75%</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0.5%</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Payment Links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Basic (Beamo branding)</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Custom branding, colors, logo</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white-label</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Analytics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Basic transaction history</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Analytics dashboard with trends</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Advanced analytics with export</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Recurring Billing</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Not available</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Up to 10 active schedules</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Unlimited</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Team Accounts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Not available</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Not available</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Up to 10 team members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API Access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Not available</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Read-only API</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API with webhooks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Support</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Community / email (48-hr SLA)</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Priority email (24-hr SLA)</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Priority email + chat (4-hr SLA)</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Invoice Generation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 each</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Included (unlimited)</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Included (unlimited)</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Instant Payouts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$0.50 each</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$0.25 each</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 free/month, then $0.25</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5.3 Revenue Projections (Month 1–12)</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revenue projections are based on conservative growth assumptions, a blended platform fee of 1.0%, a Pro subscription conversion rate of 8%, and a Business subscription conversion rate of 2%. These projections assume the viral growth engine (Section 9) achieves target K-factor milestones and that the Partner Platform Engine begins contributing revenue in Month 6.</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Month</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Registered Users</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Active Users</w:t>
            </w:r>
          </w:p>
        </w:tc>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Transaction Volume</w:t>
            </w:r>
          </w:p>
        </w:tc>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Fee Revenue</w:t>
            </w:r>
          </w:p>
        </w:tc>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Subscription Revenue</w:t>
            </w:r>
          </w:p>
        </w:tc>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Total MRR</w:t>
            </w:r>
          </w:p>
        </w:tc>
      </w:tr>
      <w:tr>
        <w:trPr>
          <w:tblHeader w:val="false"/>
        </w:trPr>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Month 1</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250</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75</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$12,500</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$125</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$225</w:t>
            </w:r>
          </w:p>
        </w:tc>
      </w:tr>
      <w:tr>
        <w:trPr>
          <w:tblHeader w:val="false"/>
        </w:trPr>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Month 3</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1,000</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300</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$50,000</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$500</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$500</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$1,000</w:t>
            </w:r>
          </w:p>
        </w:tc>
      </w:tr>
      <w:tr>
        <w:trPr>
          <w:tblHeader w:val="false"/>
        </w:trPr>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Month 6</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5,000</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1,500</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$250,000</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$2,500</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$3,500</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$6,000</w:t>
            </w:r>
          </w:p>
        </w:tc>
      </w:tr>
      <w:tr>
        <w:trPr>
          <w:tblHeader w:val="false"/>
        </w:trPr>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Month 9</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20,000</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7,000</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$1,500,000</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$15,000</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$15,000</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$30,000</w:t>
            </w:r>
          </w:p>
        </w:tc>
      </w:tr>
      <w:tr>
        <w:trPr>
          <w:tblHeader w:val="false"/>
        </w:trPr>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Month 12</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50,000</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20,000</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$5,000,000</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$50,000</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$50,000</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$100,000</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Key Principle</w:t>
            </w:r>
          </w:p>
          <w:p>
            <w:pPr>
              <w:spacing w:after="120" w:line="360" w:lineRule="auto"/>
            </w:pPr>
            <w:r>
              <w:rPr>
                <w:rFonts w:ascii="Calibri" w:cs="Calibri" w:eastAsia="Calibri" w:hAnsi="Calibri"/>
                <w:b w:val="false"/>
                <w:bCs w:val="false"/>
                <w:i w:val="false"/>
                <w:iCs w:val="false"/>
                <w:strike w:val="false"/>
                <w:color w:val="000000"/>
                <w:sz w:val="22"/>
                <w:szCs w:val="22"/>
              </w:rPr>
              <w:t xml:space="preserve">“Beamo makes money when users make money.” Aligned incentives. No predatory fees. No hidden charges. Every dollar of Beamo revenue is earned by delivering measurable value to the user.</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6. Partner Platform Engine</w:t>
      </w:r>
    </w:p>
    <w:p>
      <w:pPr>
        <w:pStyle w:val="Heading2"/>
        <w:spacing w:after="120" w:before="360" w:line="312" w:lineRule="auto"/>
      </w:pPr>
      <w:r>
        <w:rPr>
          <w:rFonts w:ascii="Calibri" w:cs="Calibri" w:eastAsia="Calibri" w:hAnsi="Calibri"/>
          <w:color w:val="1A1A1A"/>
          <w:sz w:val="36"/>
          <w:szCs w:val="36"/>
        </w:rPr>
        <w:t xml:space="preserve">6.1 B2B2C Growth Channel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Partner Platform Engine is Beamo's strategic B2B2C growth channel — enabling third-party platforms, marketplaces, and SaaS tools to embed Beamo's payment infrastructure directly into their own products and workflows. This channel transforms Beamo from a standalone consumer application into a payment infrastructure provider, dramatically expanding distribution reach without proportional increases in customer acquisition cost.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engine operates on a simple principle: partners integrate Beamo's payment capabilities into their platforms via API or pre-built SDKs, their users transact through Beamo's orchestration layer, and both Beamo and the partner earn revenue from the resulting transaction volume. The partner benefits from offering seamless payments without building payment infrastructure; Beamo benefits from acquiring users through channels it could never reach through direct marketing alone.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Partners can choose between co-branded experiences (where Beamo's brand is visible alongside the partner's) and white-label experiences (where the payment flow appears entirely native to the partner's platform). White-label is available exclusively at the Enterprise Partner tier and requires a custom agreement.</w:t>
      </w:r>
    </w:p>
    <w:p>
      <w:pPr>
        <w:pStyle w:val="Heading2"/>
        <w:spacing w:after="120" w:before="360" w:line="312" w:lineRule="auto"/>
      </w:pPr>
      <w:r>
        <w:rPr>
          <w:rFonts w:ascii="Calibri" w:cs="Calibri" w:eastAsia="Calibri" w:hAnsi="Calibri"/>
          <w:color w:val="1A1A1A"/>
          <w:sz w:val="36"/>
          <w:szCs w:val="36"/>
        </w:rPr>
        <w:t xml:space="preserve">6.2 Partner Tiers &amp; Revenue Share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Tier</w:t>
            </w:r>
          </w:p>
        </w:tc>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Revenue Share</w:t>
            </w:r>
          </w:p>
        </w:tc>
        <w:tc>
          <w:tcPr>
            <w:tcW w:type="pct" w:w="2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Requirements</w:t>
            </w:r>
          </w:p>
        </w:tc>
        <w:tc>
          <w:tcPr>
            <w:tcW w:type="pct" w:w="3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Benefits</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Affiliate Partner</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 flat bounty per signup + 5% ongoing rev share on referred user fees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Application approval, verified identity, active website or social presence</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Unique referral links, basic tracking dashboard, monthly payouts, co-marketing templates</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Integration Partner</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 rev share on all transaction fees from integrated users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Completed SDK integration, minimum 100 monthly transactions, technical review passed</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Dedicated partner manager, sandbox environment, priority API support, co-marketing campaigns, featured in Beamo partner directory</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Enterprise Partner</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20–30% rev share (negotiated), custom minimums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Custom SLA, $10K+ monthly transaction volume, legal agreement</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white-label capability, dedicated account manager, custom feature development, negotiated SLA with uptime guarantees, quarterly business reviews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6.3 Partner Onboarding Flow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partner onboarding process is designed to balance speed-to-integration with security and quality assurance. The complete flow, from initial application to production go-live, is targeted to complete within 5–10 business days for Affiliate and Integration partners, and 15–30 business days for Enterprise partners requiring custom agreements.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Application Submission.</w:t>
      </w:r>
      <w:r>
        <w:rPr>
          <w:rFonts w:ascii="Calibri" w:cs="Calibri" w:eastAsia="Calibri" w:hAnsi="Calibri"/>
          <w:b w:val="false"/>
          <w:bCs w:val="false"/>
          <w:i w:val="false"/>
          <w:iCs w:val="false"/>
          <w:strike w:val="false"/>
          <w:color w:val="000000"/>
          <w:sz w:val="22"/>
          <w:szCs w:val="22"/>
        </w:rPr>
        <w:t xml:space="preserve"> Partner completes an online application providing company information, integration use case description, estimated monthly volume, and technical contact details.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Review &amp; Approval.</w:t>
      </w:r>
      <w:r>
        <w:rPr>
          <w:rFonts w:ascii="Calibri" w:cs="Calibri" w:eastAsia="Calibri" w:hAnsi="Calibri"/>
          <w:b w:val="false"/>
          <w:bCs w:val="false"/>
          <w:i w:val="false"/>
          <w:iCs w:val="false"/>
          <w:strike w:val="false"/>
          <w:color w:val="000000"/>
          <w:sz w:val="22"/>
          <w:szCs w:val="22"/>
        </w:rPr>
        <w:t xml:space="preserve"> The Beamo partnerships team reviews the application for alignment with platform values, technical feasibility, and market fit. Affiliate applications are reviewed within 48 hours; Integration and Enterprise applications within 5 business days.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API Keys &amp; Documentation Access.</w:t>
      </w:r>
      <w:r>
        <w:rPr>
          <w:rFonts w:ascii="Calibri" w:cs="Calibri" w:eastAsia="Calibri" w:hAnsi="Calibri"/>
          <w:b w:val="false"/>
          <w:bCs w:val="false"/>
          <w:i w:val="false"/>
          <w:iCs w:val="false"/>
          <w:strike w:val="false"/>
          <w:color w:val="000000"/>
          <w:sz w:val="22"/>
          <w:szCs w:val="22"/>
        </w:rPr>
        <w:t xml:space="preserve"> Upon approval, the partner receives API credentials (publishable and secret keys), access to the comprehensive API documentation portal with interactive playground, and SDKs for their target platforms (React, iOS, Android).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Sandbox Testing.</w:t>
      </w:r>
      <w:r>
        <w:rPr>
          <w:rFonts w:ascii="Calibri" w:cs="Calibri" w:eastAsia="Calibri" w:hAnsi="Calibri"/>
          <w:b w:val="false"/>
          <w:bCs w:val="false"/>
          <w:i w:val="false"/>
          <w:iCs w:val="false"/>
          <w:strike w:val="false"/>
          <w:color w:val="000000"/>
          <w:sz w:val="22"/>
          <w:szCs w:val="22"/>
        </w:rPr>
        <w:t xml:space="preserve"> Partners build and test their integration against a sandbox environment that mirrors production, including simulated payment flows, webhook delivery, and edge cases. The sandbox generates realistic test data and supports all API endpoints.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Technical Review.</w:t>
      </w:r>
      <w:r>
        <w:rPr>
          <w:rFonts w:ascii="Calibri" w:cs="Calibri" w:eastAsia="Calibri" w:hAnsi="Calibri"/>
          <w:b w:val="false"/>
          <w:bCs w:val="false"/>
          <w:i w:val="false"/>
          <w:iCs w:val="false"/>
          <w:strike w:val="false"/>
          <w:color w:val="000000"/>
          <w:sz w:val="22"/>
          <w:szCs w:val="22"/>
        </w:rPr>
        <w:t xml:space="preserve"> Before production access, the Beamo engineering team reviews the partner's integration for security best practices, proper error handling, and compliance with Beamo's acceptable use policies.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Go-Live.</w:t>
      </w:r>
      <w:r>
        <w:rPr>
          <w:rFonts w:ascii="Calibri" w:cs="Calibri" w:eastAsia="Calibri" w:hAnsi="Calibri"/>
          <w:b w:val="false"/>
          <w:bCs w:val="false"/>
          <w:i w:val="false"/>
          <w:iCs w:val="false"/>
          <w:strike w:val="false"/>
          <w:color w:val="000000"/>
          <w:sz w:val="22"/>
          <w:szCs w:val="22"/>
        </w:rPr>
        <w:t xml:space="preserve"> Production API keys are activated. The partner's integration is monitored closely for the first 30 days with proactive alerts for any issues.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Revenue Tracking.</w:t>
      </w:r>
      <w:r>
        <w:rPr>
          <w:rFonts w:ascii="Calibri" w:cs="Calibri" w:eastAsia="Calibri" w:hAnsi="Calibri"/>
          <w:b w:val="false"/>
          <w:bCs w:val="false"/>
          <w:i w:val="false"/>
          <w:iCs w:val="false"/>
          <w:strike w:val="false"/>
          <w:color w:val="000000"/>
          <w:sz w:val="22"/>
          <w:szCs w:val="22"/>
        </w:rPr>
        <w:t xml:space="preserve"> The partner gains access to a real-time revenue dashboard showing transaction volume, fee revenue, user acquisition metrics, and payout history.</w:t>
      </w:r>
    </w:p>
    <w:p>
      <w:pPr>
        <w:pStyle w:val="Heading2"/>
        <w:spacing w:after="120" w:before="360" w:line="312" w:lineRule="auto"/>
      </w:pPr>
      <w:r>
        <w:rPr>
          <w:rFonts w:ascii="Calibri" w:cs="Calibri" w:eastAsia="Calibri" w:hAnsi="Calibri"/>
          <w:color w:val="1A1A1A"/>
          <w:sz w:val="36"/>
          <w:szCs w:val="36"/>
        </w:rPr>
        <w:t xml:space="preserve">6.4 Technical Requirements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Partner integrations are built on industry-standard protocols and security practices to ensure reliability, security, and maintainability across the partner ecosystem.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Authentication:</w:t>
      </w:r>
      <w:r>
        <w:rPr>
          <w:rFonts w:ascii="Calibri" w:cs="Calibri" w:eastAsia="Calibri" w:hAnsi="Calibri"/>
          <w:b w:val="false"/>
          <w:bCs w:val="false"/>
          <w:i w:val="false"/>
          <w:iCs w:val="false"/>
          <w:strike w:val="false"/>
          <w:color w:val="000000"/>
          <w:sz w:val="22"/>
          <w:szCs w:val="22"/>
        </w:rPr>
        <w:t xml:space="preserve"> OAuth 2.0 for partner application authorization, with scoped permissions controlling access to specific API resources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Webhook Events:</w:t>
      </w:r>
      <w:r>
        <w:rPr>
          <w:rFonts w:ascii="Calibri" w:cs="Calibri" w:eastAsia="Calibri" w:hAnsi="Calibri"/>
          <w:b w:val="false"/>
          <w:bCs w:val="false"/>
          <w:i w:val="false"/>
          <w:iCs w:val="false"/>
          <w:strike w:val="false"/>
          <w:color w:val="000000"/>
          <w:sz w:val="22"/>
          <w:szCs w:val="22"/>
        </w:rPr>
        <w:t xml:space="preserve"> Real-time webhook delivery for all payment lifecycle events (payment.created, payment.completed, payment.failed, refund.initiated, etc.) with HMAC-SHA256 signature verification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Sandbox Environment:</w:t>
      </w:r>
      <w:r>
        <w:rPr>
          <w:rFonts w:ascii="Calibri" w:cs="Calibri" w:eastAsia="Calibri" w:hAnsi="Calibri"/>
          <w:b w:val="false"/>
          <w:bCs w:val="false"/>
          <w:i w:val="false"/>
          <w:iCs w:val="false"/>
          <w:strike w:val="false"/>
          <w:color w:val="000000"/>
          <w:sz w:val="22"/>
          <w:szCs w:val="22"/>
        </w:rPr>
        <w:t xml:space="preserve"> Full-fidelity sandbox mirroring production APIs, database schema, and webhook behavior, with test card numbers and simulated processor responses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API Documentation:</w:t>
      </w:r>
      <w:r>
        <w:rPr>
          <w:rFonts w:ascii="Calibri" w:cs="Calibri" w:eastAsia="Calibri" w:hAnsi="Calibri"/>
          <w:b w:val="false"/>
          <w:bCs w:val="false"/>
          <w:i w:val="false"/>
          <w:iCs w:val="false"/>
          <w:strike w:val="false"/>
          <w:color w:val="000000"/>
          <w:sz w:val="22"/>
          <w:szCs w:val="22"/>
        </w:rPr>
        <w:t xml:space="preserve"> Interactive API playground (similar to Stripe's documentation experience), auto-generated client libraries, comprehensive error code reference, and versioned changelog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SDKs:</w:t>
      </w:r>
      <w:r>
        <w:rPr>
          <w:rFonts w:ascii="Calibri" w:cs="Calibri" w:eastAsia="Calibri" w:hAnsi="Calibri"/>
          <w:b w:val="false"/>
          <w:bCs w:val="false"/>
          <w:i w:val="false"/>
          <w:iCs w:val="false"/>
          <w:strike w:val="false"/>
          <w:color w:val="000000"/>
          <w:sz w:val="22"/>
          <w:szCs w:val="22"/>
        </w:rPr>
        <w:t xml:space="preserve"> Pre-built SDKs for React (web), React Native (mobile), Swift (iOS native), and Kotlin (Android native), with community-contributed SDKs for Python, Ruby, PHP, and Go</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7. Admin Pricing Console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Admin Pricing Console is an internal tool designed exclusively for ReazLab operators to manage all pricing, fees, and monetization parameters across the Beamo platform — without requiring code deployments, database migrations, or engineering intervention. This tool is critical for business agility: it enables the team to respond to market conditions, competitor moves, and user feedback by adjusting pricing in real time, while maintaining a complete audit trail of every change.</w:t>
      </w:r>
    </w:p>
    <w:p>
      <w:pPr>
        <w:pStyle w:val="Heading2"/>
        <w:spacing w:after="120" w:before="360" w:line="312" w:lineRule="auto"/>
      </w:pPr>
      <w:r>
        <w:rPr>
          <w:rFonts w:ascii="Calibri" w:cs="Calibri" w:eastAsia="Calibri" w:hAnsi="Calibri"/>
          <w:color w:val="1A1A1A"/>
          <w:sz w:val="36"/>
          <w:szCs w:val="36"/>
        </w:rPr>
        <w:t xml:space="preserve">7.1 Feature Set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Feature</w:t>
            </w:r>
          </w:p>
        </w:tc>
        <w:tc>
          <w:tcPr>
            <w:tcW w:type="pct" w:w="8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Description</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Global Fee Configuration</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Set and adjust platform transaction fee percentages globally and per subscription tier. Supports separate configuration for P2P, business, and API-originated transactions. Changes propagate to all new transactions within 60 seconds of approval.</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Partner Revenue Share Manager</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Configure default revenue share percentages per partner tier (Affiliate, Integration, Enterprise). Override default percentages for specific partners. View projected impact of share changes on Beamo's net revenue.</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Subscription Plan Editor</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Create, modify, and archive subscription tiers. Adjust feature gates (which features are available at each tier), volume limits, and pricing. Archived plans remain active for existing subscribers but are hidden from new signups.</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Promotional Engine</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Create time-limited discounts, free trial periods (7-day, 14-day, 30-day), referral bonus amounts, and coupon codes. Supports usage limits (e.g., first 500 redemptions), expiration dates, and eligibility criteria (new users only, specific tiers, etc.).</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A/B Price Testing</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Run pricing experiments on defined user cohorts, measuring impact on conversion rate, average revenue per user (ARPU), and churn. Supports multiple simultaneous experiments with statistical significance tracking and automatic winner selection.</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Audit Log</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Every pricing change is logged with timestamp, operator ID, approval chain, before/after values, and rationale field. Audit logs are immutable and retained for a minimum of 7 years for compliance purposes.</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Currency &amp; Regional Pricing</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Set pricing by currency and region for international expansion phases. Supports purchasing power parity (PPP) adjustments with documented rationale for each regional override.</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Real-Time Revenue Dashboard</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Live metrics on revenue per stream, ARPU, monthly churn rate, customer lifetime value (LTV), subscription conversion funnels, and partner revenue contribution. Exportable reports for board meetings and investor updates.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7.2 Access Control &amp; Governance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Admin Pricing Console enforces strict role-based access control to prevent unauthorized changes and ensure accountability for all pricing decisions. Three roles are defined, each with progressively restricted permissions: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Role</w:t>
            </w:r>
          </w:p>
        </w:tc>
        <w:tc>
          <w:tcPr>
            <w:tcW w:type="pct" w:w="4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Permissions</w:t>
            </w:r>
          </w:p>
        </w:tc>
        <w:tc>
          <w:tcPr>
            <w:tcW w:type="pct" w:w="4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Restrictions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Super Admin</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access to all features. Can approve production changes. Can manage other admin accounts.</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changes require MFA confirmation. Maximum 2 Super Admin accounts.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Pricing Admin</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Create and edit pricing configurations, promotions, and A/B tests. Submit changes for approval.</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Cannot deploy changes to production without Super Admin approval. Cannot modify partner revenue share above 30%.</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Read-Only Analyst</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View all dashboards, audit logs, and pricing configurations. Export reports.</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Cannot create, edit, or approve any changes.</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changes to production pricing follow a two-step approval workflow: the Pricing Admin proposes the change (with required rationale), and a Super Admin reviews and approves or rejects the change. Emergency pricing changes (e.g., responding to a competitor price drop) can bypass the standard workflow with a post-hoc review required within 24 hours.</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8. Universal Pricing Rights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Universal Pricing Rights (UPR) is Beamo's philosophical and contractual framework ensuring fair, transparent pricing for all users globally. More than a set of policies, UPR represents a public commitment — published as the “Beamo Pricing Bill of Rights” — that builds trust, differentiates Beamo from competitors with opaque fee structures, and serves as both a marketing asset and a legally binding commitment to users.</w:t>
      </w:r>
    </w:p>
    <w:p>
      <w:pPr>
        <w:pStyle w:val="Heading2"/>
        <w:spacing w:after="120" w:before="360" w:line="312" w:lineRule="auto"/>
      </w:pPr>
      <w:r>
        <w:rPr>
          <w:rFonts w:ascii="Calibri" w:cs="Calibri" w:eastAsia="Calibri" w:hAnsi="Calibri"/>
          <w:color w:val="1A1A1A"/>
          <w:sz w:val="36"/>
          <w:szCs w:val="36"/>
        </w:rPr>
        <w:t xml:space="preserve">8.1 Core Principles</w:t>
      </w:r>
    </w:p>
    <w:p>
      <w:pPr>
        <w:spacing w:after="120" w:before="60" w:line="360" w:lineRule="auto"/>
      </w:pPr>
      <w:r>
        <w:rPr>
          <w:rFonts w:ascii="Calibri" w:cs="Calibri" w:eastAsia="Calibri" w:hAnsi="Calibri"/>
          <w:b/>
          <w:bCs/>
          <w:i w:val="false"/>
          <w:iCs w:val="false"/>
          <w:strike w:val="false"/>
          <w:color w:val="000000"/>
          <w:sz w:val="22"/>
          <w:szCs w:val="22"/>
        </w:rPr>
        <w:t xml:space="preserve">Principle 1: Transparency.</w:t>
      </w:r>
      <w:r>
        <w:rPr>
          <w:rFonts w:ascii="Calibri" w:cs="Calibri" w:eastAsia="Calibri" w:hAnsi="Calibri"/>
          <w:b w:val="false"/>
          <w:bCs w:val="false"/>
          <w:i w:val="false"/>
          <w:iCs w:val="false"/>
          <w:strike w:val="false"/>
          <w:color w:val="000000"/>
          <w:sz w:val="22"/>
          <w:szCs w:val="22"/>
        </w:rPr>
        <w:t xml:space="preserve"> All fees are visible before transaction confirmation. No hidden charges, no surprise deductions, no post-transaction fees. Every payment screen displays a complete fee breakdown showing the processor fee and the Beamo platform fee as separate, clearly labeled line items. Users can see the exact amount the recipient will receive before they confirm any payment.</w:t>
      </w:r>
    </w:p>
    <w:p>
      <w:pPr>
        <w:spacing w:after="120" w:before="60" w:line="360" w:lineRule="auto"/>
      </w:pPr>
      <w:r>
        <w:rPr>
          <w:rFonts w:ascii="Calibri" w:cs="Calibri" w:eastAsia="Calibri" w:hAnsi="Calibri"/>
          <w:b/>
          <w:bCs/>
          <w:i w:val="false"/>
          <w:iCs w:val="false"/>
          <w:strike w:val="false"/>
          <w:color w:val="000000"/>
          <w:sz w:val="22"/>
          <w:szCs w:val="22"/>
        </w:rPr>
        <w:t xml:space="preserve">Principle 2: Consistency.</w:t>
      </w:r>
      <w:r>
        <w:rPr>
          <w:rFonts w:ascii="Calibri" w:cs="Calibri" w:eastAsia="Calibri" w:hAnsi="Calibri"/>
          <w:b w:val="false"/>
          <w:bCs w:val="false"/>
          <w:i w:val="false"/>
          <w:iCs w:val="false"/>
          <w:strike w:val="false"/>
          <w:color w:val="000000"/>
          <w:sz w:val="22"/>
          <w:szCs w:val="22"/>
        </w:rPr>
        <w:t xml:space="preserve"> Users on the same subscription tier pay the same platform fee percentage, regardless of their location, device, or usage history. When Beamo expands internationally, regional purchasing power adjustments may be applied to subscription pricing — but these adjustments are documented publicly and applied uniformly to all users in each region.</w:t>
      </w:r>
    </w:p>
    <w:p>
      <w:pPr>
        <w:spacing w:after="120" w:before="60" w:line="360" w:lineRule="auto"/>
      </w:pPr>
      <w:r>
        <w:rPr>
          <w:rFonts w:ascii="Calibri" w:cs="Calibri" w:eastAsia="Calibri" w:hAnsi="Calibri"/>
          <w:b/>
          <w:bCs/>
          <w:i w:val="false"/>
          <w:iCs w:val="false"/>
          <w:strike w:val="false"/>
          <w:color w:val="000000"/>
          <w:sz w:val="22"/>
          <w:szCs w:val="22"/>
        </w:rPr>
        <w:t xml:space="preserve">Principle 3: No Retroactive Changes.</w:t>
      </w:r>
      <w:r>
        <w:rPr>
          <w:rFonts w:ascii="Calibri" w:cs="Calibri" w:eastAsia="Calibri" w:hAnsi="Calibri"/>
          <w:b w:val="false"/>
          <w:bCs w:val="false"/>
          <w:i w:val="false"/>
          <w:iCs w:val="false"/>
          <w:strike w:val="false"/>
          <w:color w:val="000000"/>
          <w:sz w:val="22"/>
          <w:szCs w:val="22"/>
        </w:rPr>
        <w:t xml:space="preserve"> Pricing changes apply only to future transactions and future subscription renewal periods. If a user is on a Pro plan at $9.99/month and the price increases to $12.99/month, the existing user continues paying $9.99 until their next renewal cycle, at which point they are notified of the change with at least 30 days' advance notice and the option to cancel.</w:t>
      </w:r>
    </w:p>
    <w:p>
      <w:pPr>
        <w:spacing w:after="120" w:before="60" w:line="360" w:lineRule="auto"/>
      </w:pPr>
      <w:r>
        <w:rPr>
          <w:rFonts w:ascii="Calibri" w:cs="Calibri" w:eastAsia="Calibri" w:hAnsi="Calibri"/>
          <w:b/>
          <w:bCs/>
          <w:i w:val="false"/>
          <w:iCs w:val="false"/>
          <w:strike w:val="false"/>
          <w:color w:val="000000"/>
          <w:sz w:val="22"/>
          <w:szCs w:val="22"/>
        </w:rPr>
        <w:t xml:space="preserve">Principle 4: User Data Sovereignty.</w:t>
      </w:r>
      <w:r>
        <w:rPr>
          <w:rFonts w:ascii="Calibri" w:cs="Calibri" w:eastAsia="Calibri" w:hAnsi="Calibri"/>
          <w:b w:val="false"/>
          <w:bCs w:val="false"/>
          <w:i w:val="false"/>
          <w:iCs w:val="false"/>
          <w:strike w:val="false"/>
          <w:color w:val="000000"/>
          <w:sz w:val="22"/>
          <w:szCs w:val="22"/>
        </w:rPr>
        <w:t xml:space="preserve"> Pricing algorithms never use personal data — including age, gender, ethnicity, browsing history, device type, or geographic location within the same pricing region — to discriminate on pricing. Only two factors determine a user's fees: their subscription tier and their transaction volume. This is verified through regular internal audits and is subject to external audit upon reasonable request.</w:t>
      </w:r>
    </w:p>
    <w:p>
      <w:pPr>
        <w:spacing w:after="120" w:before="60" w:line="360" w:lineRule="auto"/>
      </w:pPr>
      <w:r>
        <w:rPr>
          <w:rFonts w:ascii="Calibri" w:cs="Calibri" w:eastAsia="Calibri" w:hAnsi="Calibri"/>
          <w:b/>
          <w:bCs/>
          <w:i w:val="false"/>
          <w:iCs w:val="false"/>
          <w:strike w:val="false"/>
          <w:color w:val="000000"/>
          <w:sz w:val="22"/>
          <w:szCs w:val="22"/>
        </w:rPr>
        <w:t xml:space="preserve">Principle 5: Right to Export.</w:t>
      </w:r>
      <w:r>
        <w:rPr>
          <w:rFonts w:ascii="Calibri" w:cs="Calibri" w:eastAsia="Calibri" w:hAnsi="Calibri"/>
          <w:b w:val="false"/>
          <w:bCs w:val="false"/>
          <w:i w:val="false"/>
          <w:iCs w:val="false"/>
          <w:strike w:val="false"/>
          <w:color w:val="000000"/>
          <w:sz w:val="22"/>
          <w:szCs w:val="22"/>
        </w:rPr>
        <w:t xml:space="preserve"> Users can export all of their transaction data at any time in CSV and JSON formats. There are no data hostage tactics, no export fees, and no artificial limitations on export frequency. Exported data includes complete transaction histories, fee breakdowns, referral records, and account activity logs.</w:t>
      </w:r>
    </w:p>
    <w:p>
      <w:pPr>
        <w:spacing w:after="120" w:before="60" w:line="360" w:lineRule="auto"/>
      </w:pPr>
      <w:r>
        <w:rPr>
          <w:rFonts w:ascii="Calibri" w:cs="Calibri" w:eastAsia="Calibri" w:hAnsi="Calibri"/>
          <w:b/>
          <w:bCs/>
          <w:i w:val="false"/>
          <w:iCs w:val="false"/>
          <w:strike w:val="false"/>
          <w:color w:val="000000"/>
          <w:sz w:val="22"/>
          <w:szCs w:val="22"/>
        </w:rPr>
        <w:t xml:space="preserve">Principle 6: Fair Cancellation.</w:t>
      </w:r>
      <w:r>
        <w:rPr>
          <w:rFonts w:ascii="Calibri" w:cs="Calibri" w:eastAsia="Calibri" w:hAnsi="Calibri"/>
          <w:b w:val="false"/>
          <w:bCs w:val="false"/>
          <w:i w:val="false"/>
          <w:iCs w:val="false"/>
          <w:strike w:val="false"/>
          <w:color w:val="000000"/>
          <w:sz w:val="22"/>
          <w:szCs w:val="22"/>
        </w:rPr>
        <w:t xml:space="preserve"> Users can cancel any subscription at any time without penalties, fees, or dark patterns designed to discourage cancellation. Annual plan subscribers receive pro-rated refunds for unused months. The cancellation flow is designed to be completed in three clicks or fewer.</w:t>
      </w:r>
    </w:p>
    <w:p>
      <w:pPr>
        <w:spacing w:after="120" w:before="60" w:line="360" w:lineRule="auto"/>
      </w:pPr>
      <w:r>
        <w:rPr>
          <w:rFonts w:ascii="Calibri" w:cs="Calibri" w:eastAsia="Calibri" w:hAnsi="Calibri"/>
          <w:b/>
          <w:bCs/>
          <w:i w:val="false"/>
          <w:iCs w:val="false"/>
          <w:strike w:val="false"/>
          <w:color w:val="000000"/>
          <w:sz w:val="22"/>
          <w:szCs w:val="22"/>
        </w:rPr>
        <w:t xml:space="preserve">Principle 7: Partner Pricing Parity.</w:t>
      </w:r>
      <w:r>
        <w:rPr>
          <w:rFonts w:ascii="Calibri" w:cs="Calibri" w:eastAsia="Calibri" w:hAnsi="Calibri"/>
          <w:b w:val="false"/>
          <w:bCs w:val="false"/>
          <w:i w:val="false"/>
          <w:iCs w:val="false"/>
          <w:strike w:val="false"/>
          <w:color w:val="000000"/>
          <w:sz w:val="22"/>
          <w:szCs w:val="22"/>
        </w:rPr>
        <w:t xml:space="preserve"> Partners who embed Beamo's payment infrastructure cannot charge end-users more than Beamo's published rates for equivalent features and services. This prevents partner exploitation of Beamo's users and ensures that the end-user experience remains consistent regardless of which partner channel they entered through.</w:t>
      </w:r>
    </w:p>
    <w:p>
      <w:pPr>
        <w:spacing w:after="120" w:before="60" w:line="360" w:lineRule="auto"/>
      </w:pPr>
      <w:r>
        <w:rPr>
          <w:rFonts w:ascii="Calibri" w:cs="Calibri" w:eastAsia="Calibri" w:hAnsi="Calibri"/>
          <w:b/>
          <w:bCs/>
          <w:i w:val="false"/>
          <w:iCs w:val="false"/>
          <w:strike w:val="false"/>
          <w:color w:val="000000"/>
          <w:sz w:val="22"/>
          <w:szCs w:val="22"/>
        </w:rPr>
        <w:t xml:space="preserve">Principle 8: Regulatory Compliance.</w:t>
      </w:r>
      <w:r>
        <w:rPr>
          <w:rFonts w:ascii="Calibri" w:cs="Calibri" w:eastAsia="Calibri" w:hAnsi="Calibri"/>
          <w:b w:val="false"/>
          <w:bCs w:val="false"/>
          <w:i w:val="false"/>
          <w:iCs w:val="false"/>
          <w:strike w:val="false"/>
          <w:color w:val="000000"/>
          <w:sz w:val="22"/>
          <w:szCs w:val="22"/>
        </w:rPr>
        <w:t xml:space="preserve"> Beamo's pricing practices comply with US consumer protection laws, FTC guidelines on fee disclosure, and are designed for future compliance with the EU Digital Services Act and platform marketplace regulations as Beamo expands internationally.</w:t>
      </w:r>
    </w:p>
    <w:p>
      <w:pPr>
        <w:pStyle w:val="Heading2"/>
        <w:spacing w:after="120" w:before="360" w:line="312" w:lineRule="auto"/>
      </w:pPr>
      <w:r>
        <w:rPr>
          <w:rFonts w:ascii="Calibri" w:cs="Calibri" w:eastAsia="Calibri" w:hAnsi="Calibri"/>
          <w:color w:val="1A1A1A"/>
          <w:sz w:val="36"/>
          <w:szCs w:val="36"/>
        </w:rPr>
        <w:t xml:space="preserve">8.2 Public Commitment &amp; Trust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Universal Pricing Rights are published as a publicly accessible “Beamo Pricing Bill of Rights” page on the Beamo website. This page serves multiple strategic purposes: it builds consumer trust by demonstrating radical transparency, it differentiates Beamo from competitors who obscure their fee structures, it creates positive press coverage and social media sharing, and it establishes a legally enforceable commitment that gives users confidence in the platform's integrity.</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9. Referral &amp; Viral Growth Engine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Beamo's referral system is the primary growth lever for the platform — designed to transform every user into a distribution channel and every transaction into a potential acquisition event. Unlike bolted-on referral programs common in fintech, Beamo's viral mechanics are deeply integrated into the core product experience, ensuring that virality is not an add-on feature but a fundamental characteristic of how the product works.</w:t>
      </w:r>
    </w:p>
    <w:p>
      <w:pPr>
        <w:pStyle w:val="Heading2"/>
        <w:spacing w:after="120" w:before="360" w:line="312" w:lineRule="auto"/>
      </w:pPr>
      <w:r>
        <w:rPr>
          <w:rFonts w:ascii="Calibri" w:cs="Calibri" w:eastAsia="Calibri" w:hAnsi="Calibri"/>
          <w:color w:val="1A1A1A"/>
          <w:sz w:val="36"/>
          <w:szCs w:val="36"/>
        </w:rPr>
        <w:t xml:space="preserve">9.1 Referral Mechanics</w:t>
      </w:r>
    </w:p>
    <w:p>
      <w:pPr>
        <w:spacing w:after="120" w:before="60" w:line="360" w:lineRule="auto"/>
      </w:pPr>
      <w:r>
        <w:rPr>
          <w:rFonts w:ascii="Calibri" w:cs="Calibri" w:eastAsia="Calibri" w:hAnsi="Calibri"/>
          <w:b/>
          <w:bCs/>
          <w:i w:val="false"/>
          <w:iCs w:val="false"/>
          <w:strike w:val="false"/>
          <w:color w:val="000000"/>
          <w:sz w:val="22"/>
          <w:szCs w:val="22"/>
        </w:rPr>
        <w:t xml:space="preserve">Double-Sided Referral Incentive.</w:t>
      </w:r>
      <w:r>
        <w:rPr>
          <w:rFonts w:ascii="Calibri" w:cs="Calibri" w:eastAsia="Calibri" w:hAnsi="Calibri"/>
          <w:b w:val="false"/>
          <w:bCs w:val="false"/>
          <w:i w:val="false"/>
          <w:iCs w:val="false"/>
          <w:strike w:val="false"/>
          <w:color w:val="000000"/>
          <w:sz w:val="22"/>
          <w:szCs w:val="22"/>
        </w:rPr>
        <w:t xml:space="preserve"> Both parties benefit from every successful referral. The referring user receives a $5 account credit (applicable toward platform fees) or one free month of Beamo Pro, whichever they prefer. The referred user receives their first transaction fee completely waived, removing the primary friction point for new user activation. This double-sided structure ensures that both the referrer and the referee have a clear, immediate incentive to participate.</w:t>
      </w:r>
    </w:p>
    <w:p>
      <w:pPr>
        <w:spacing w:after="120" w:before="60" w:line="360" w:lineRule="auto"/>
      </w:pPr>
      <w:r>
        <w:rPr>
          <w:rFonts w:ascii="Calibri" w:cs="Calibri" w:eastAsia="Calibri" w:hAnsi="Calibri"/>
          <w:b/>
          <w:bCs/>
          <w:i w:val="false"/>
          <w:iCs w:val="false"/>
          <w:strike w:val="false"/>
          <w:color w:val="000000"/>
          <w:sz w:val="22"/>
          <w:szCs w:val="22"/>
        </w:rPr>
        <w:t xml:space="preserve">Ambassador Tier System.</w:t>
      </w:r>
      <w:r>
        <w:rPr>
          <w:rFonts w:ascii="Calibri" w:cs="Calibri" w:eastAsia="Calibri" w:hAnsi="Calibri"/>
          <w:b w:val="false"/>
          <w:bCs w:val="false"/>
          <w:i w:val="false"/>
          <w:iCs w:val="false"/>
          <w:strike w:val="false"/>
          <w:color w:val="000000"/>
          <w:sz w:val="22"/>
          <w:szCs w:val="22"/>
        </w:rPr>
        <w:t xml:space="preserve"> To incentivize sustained referral activity beyond the initial reward, Beamo implements a tiered ambassador program that rewards power referrers with escalating benefits: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Tier</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Threshold</w:t>
            </w:r>
          </w:p>
        </w:tc>
        <w:tc>
          <w:tcPr>
            <w:tcW w:type="pct" w:w="7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Rewards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Silver Ambassador</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 referrals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Silver badge on profile, 10% discount on all platform fees, early access to new features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Gold Ambassador</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25 referrals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Gold badge, 25% fee discount, invitation to quarterly ambassador calls with the founding team, swag pack</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Platinum Ambassador</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 referrals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Platinum badge, lifetime Beamo Pro (free forever), annual ambassador summit invitation, direct Slack channel to product team, co-marketing opportunities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9.2 Viral Loops &amp; Social Integration</w:t>
      </w:r>
    </w:p>
    <w:p>
      <w:pPr>
        <w:spacing w:after="120" w:before="60" w:line="360" w:lineRule="auto"/>
      </w:pPr>
      <w:r>
        <w:rPr>
          <w:rFonts w:ascii="Calibri" w:cs="Calibri" w:eastAsia="Calibri" w:hAnsi="Calibri"/>
          <w:b/>
          <w:bCs/>
          <w:i w:val="false"/>
          <w:iCs w:val="false"/>
          <w:strike w:val="false"/>
          <w:color w:val="000000"/>
          <w:sz w:val="22"/>
          <w:szCs w:val="22"/>
        </w:rPr>
        <w:t xml:space="preserve">Viral Payment Links.</w:t>
      </w:r>
      <w:r>
        <w:rPr>
          <w:rFonts w:ascii="Calibri" w:cs="Calibri" w:eastAsia="Calibri" w:hAnsi="Calibri"/>
          <w:b w:val="false"/>
          <w:bCs w:val="false"/>
          <w:i w:val="false"/>
          <w:iCs w:val="false"/>
          <w:strike w:val="false"/>
          <w:color w:val="000000"/>
          <w:sz w:val="22"/>
          <w:szCs w:val="22"/>
        </w:rPr>
        <w:t xml:space="preserve"> Every Beamo payment link includes subtle “Powered by Beamo” branding with embedded referral attribution. When a non-Beamo user receives a payment link, clicks through, and completes the payment, they experience a frictionless preview of the Beamo platform. Post-payment, they receive a contextual signup prompt: “You just received $X through Beamo. Create your free account to send and receive payments instantly.”</w:t>
      </w:r>
    </w:p>
    <w:p>
      <w:pPr>
        <w:spacing w:after="120" w:before="60" w:line="360" w:lineRule="auto"/>
      </w:pPr>
      <w:r>
        <w:rPr>
          <w:rFonts w:ascii="Calibri" w:cs="Calibri" w:eastAsia="Calibri" w:hAnsi="Calibri"/>
          <w:b/>
          <w:bCs/>
          <w:i w:val="false"/>
          <w:iCs w:val="false"/>
          <w:strike w:val="false"/>
          <w:color w:val="000000"/>
          <w:sz w:val="22"/>
          <w:szCs w:val="22"/>
        </w:rPr>
        <w:t xml:space="preserve">Social Sharing Integration.</w:t>
      </w:r>
      <w:r>
        <w:rPr>
          <w:rFonts w:ascii="Calibri" w:cs="Calibri" w:eastAsia="Calibri" w:hAnsi="Calibri"/>
          <w:b w:val="false"/>
          <w:bCs w:val="false"/>
          <w:i w:val="false"/>
          <w:iCs w:val="false"/>
          <w:strike w:val="false"/>
          <w:color w:val="000000"/>
          <w:sz w:val="22"/>
          <w:szCs w:val="22"/>
        </w:rPr>
        <w:t xml:space="preserve"> One-tap sharing to iMessage, WhatsApp, Twitter/X, Instagram DMs, email, and SMS. Each share channel uses optimized formatting — for example, iMessage shares include rich link previews with the payment amount and Beamo branding, while Twitter/X shares include a pre-formatted message with the user's payment link and the “Just Beamo me” tagline.</w:t>
      </w:r>
    </w:p>
    <w:p>
      <w:pPr>
        <w:spacing w:after="120" w:before="60" w:line="360" w:lineRule="auto"/>
      </w:pPr>
      <w:r>
        <w:rPr>
          <w:rFonts w:ascii="Calibri" w:cs="Calibri" w:eastAsia="Calibri" w:hAnsi="Calibri"/>
          <w:b/>
          <w:bCs/>
          <w:i w:val="false"/>
          <w:iCs w:val="false"/>
          <w:strike w:val="false"/>
          <w:color w:val="000000"/>
          <w:sz w:val="22"/>
          <w:szCs w:val="22"/>
        </w:rPr>
        <w:t xml:space="preserve">In-Product Viral Loops.</w:t>
      </w:r>
      <w:r>
        <w:rPr>
          <w:rFonts w:ascii="Calibri" w:cs="Calibri" w:eastAsia="Calibri" w:hAnsi="Calibri"/>
          <w:b w:val="false"/>
          <w:bCs w:val="false"/>
          <w:i w:val="false"/>
          <w:iCs w:val="false"/>
          <w:strike w:val="false"/>
          <w:color w:val="000000"/>
          <w:sz w:val="22"/>
          <w:szCs w:val="22"/>
        </w:rPr>
        <w:t xml:space="preserve"> Receiving a Beamo payment as a non-user triggers a signup prompt with contextual onboarding tailored to the recipient's apparent use case. The onboarding flow preserves the referral attribution chain, ensuring that the original referrer receives credit even if the conversion occurs days or weeks after the initial exposure.</w:t>
      </w:r>
    </w:p>
    <w:p>
      <w:pPr>
        <w:spacing w:after="120" w:before="60" w:line="360" w:lineRule="auto"/>
      </w:pPr>
      <w:r>
        <w:rPr>
          <w:rFonts w:ascii="Calibri" w:cs="Calibri" w:eastAsia="Calibri" w:hAnsi="Calibri"/>
          <w:b/>
          <w:bCs/>
          <w:i w:val="false"/>
          <w:iCs w:val="false"/>
          <w:strike w:val="false"/>
          <w:color w:val="000000"/>
          <w:sz w:val="22"/>
          <w:szCs w:val="22"/>
        </w:rPr>
        <w:t xml:space="preserve">Organic Virality Metric Target.</w:t>
      </w:r>
      <w:r>
        <w:rPr>
          <w:rFonts w:ascii="Calibri" w:cs="Calibri" w:eastAsia="Calibri" w:hAnsi="Calibri"/>
          <w:b w:val="false"/>
          <w:bCs w:val="false"/>
          <w:i w:val="false"/>
          <w:iCs w:val="false"/>
          <w:strike w:val="false"/>
          <w:color w:val="000000"/>
          <w:sz w:val="22"/>
          <w:szCs w:val="22"/>
        </w:rPr>
        <w:t xml:space="preserve"> The target viral coefficient (K-factor) is greater than 1.0 within six months of public launch. A K-factor above 1.0 means that each existing user, on average, generates more than one new user — creating self-sustaining, exponential organic growth that reduces dependence on paid acquisition channels.</w:t>
      </w:r>
    </w:p>
    <w:p>
      <w:pPr>
        <w:pStyle w:val="Heading2"/>
        <w:spacing w:after="120" w:before="360" w:line="312" w:lineRule="auto"/>
      </w:pPr>
      <w:r>
        <w:rPr>
          <w:rFonts w:ascii="Calibri" w:cs="Calibri" w:eastAsia="Calibri" w:hAnsi="Calibri"/>
          <w:color w:val="1A1A1A"/>
          <w:sz w:val="36"/>
          <w:szCs w:val="36"/>
        </w:rPr>
        <w:t xml:space="preserve">9.3 Anti-Abuse Measures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To protect the integrity of the referral program and prevent fraudulent exploitation, the following anti-abuse measures are implemented from launch: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Velocity Limits:</w:t>
      </w:r>
      <w:r>
        <w:rPr>
          <w:rFonts w:ascii="Calibri" w:cs="Calibri" w:eastAsia="Calibri" w:hAnsi="Calibri"/>
          <w:b w:val="false"/>
          <w:bCs w:val="false"/>
          <w:i w:val="false"/>
          <w:iCs w:val="false"/>
          <w:strike w:val="false"/>
          <w:color w:val="000000"/>
          <w:sz w:val="22"/>
          <w:szCs w:val="22"/>
        </w:rPr>
        <w:t xml:space="preserve"> Maximum 10 referral rewards per user per day. This prevents automated referral farming while allowing legitimate power users to share freely.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Device Fingerprinting:</w:t>
      </w:r>
      <w:r>
        <w:rPr>
          <w:rFonts w:ascii="Calibri" w:cs="Calibri" w:eastAsia="Calibri" w:hAnsi="Calibri"/>
          <w:b w:val="false"/>
          <w:bCs w:val="false"/>
          <w:i w:val="false"/>
          <w:iCs w:val="false"/>
          <w:strike w:val="false"/>
          <w:color w:val="000000"/>
          <w:sz w:val="22"/>
          <w:szCs w:val="22"/>
        </w:rPr>
        <w:t xml:space="preserve"> Referral signups from the same device or IP address cluster are flagged for manual review before rewards are disbursed.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Email Verification Required:</w:t>
      </w:r>
      <w:r>
        <w:rPr>
          <w:rFonts w:ascii="Calibri" w:cs="Calibri" w:eastAsia="Calibri" w:hAnsi="Calibri"/>
          <w:b w:val="false"/>
          <w:bCs w:val="false"/>
          <w:i w:val="false"/>
          <w:iCs w:val="false"/>
          <w:strike w:val="false"/>
          <w:color w:val="000000"/>
          <w:sz w:val="22"/>
          <w:szCs w:val="22"/>
        </w:rPr>
        <w:t xml:space="preserve"> Both the referrer and the referred user must have verified email addresses before referral rewards are credited.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Minimum Transaction Threshold:</w:t>
      </w:r>
      <w:r>
        <w:rPr>
          <w:rFonts w:ascii="Calibri" w:cs="Calibri" w:eastAsia="Calibri" w:hAnsi="Calibri"/>
          <w:b w:val="false"/>
          <w:bCs w:val="false"/>
          <w:i w:val="false"/>
          <w:iCs w:val="false"/>
          <w:strike w:val="false"/>
          <w:color w:val="000000"/>
          <w:sz w:val="22"/>
          <w:szCs w:val="22"/>
        </w:rPr>
        <w:t xml:space="preserve"> The referred user must complete at least one genuine transaction of $5 or more before the referral is considered complete and rewards are disbursed to the referrer.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Clawback Policy:</w:t>
      </w:r>
      <w:r>
        <w:rPr>
          <w:rFonts w:ascii="Calibri" w:cs="Calibri" w:eastAsia="Calibri" w:hAnsi="Calibri"/>
          <w:b w:val="false"/>
          <w:bCs w:val="false"/>
          <w:i w:val="false"/>
          <w:iCs w:val="false"/>
          <w:strike w:val="false"/>
          <w:color w:val="000000"/>
          <w:sz w:val="22"/>
          <w:szCs w:val="22"/>
        </w:rPr>
        <w:t xml:space="preserve"> If a referred account is determined to be fraudulent (e.g., self-referral, fake accounts, transaction laundering), all associated referral rewards are clawed back and the referring account may be suspended pending review.</w:t>
      </w:r>
    </w:p>
    <w:p>
      <w:pPr>
        <w:pStyle w:val="Heading2"/>
        <w:spacing w:after="120" w:before="360" w:line="312" w:lineRule="auto"/>
      </w:pPr>
      <w:r>
        <w:rPr>
          <w:rFonts w:ascii="Calibri" w:cs="Calibri" w:eastAsia="Calibri" w:hAnsi="Calibri"/>
          <w:color w:val="1A1A1A"/>
          <w:sz w:val="36"/>
          <w:szCs w:val="36"/>
        </w:rPr>
        <w:t xml:space="preserve">9.4 Growth Projections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growth projections model weekly user growth over the first year, incorporating viral coefficient assumptions, organic discovery, and modest paid acquisition supplementation in the early weeks before the viral engine reaches self-sustaining levels.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Week</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New Users</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Cumulative Users</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K-Factor</w:t>
            </w:r>
          </w:p>
        </w:tc>
        <w:tc>
          <w:tcPr>
            <w:tcW w:type="pct" w:w="5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Growth Driver</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Week 1</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0.2</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Closed beta invitations, founder network</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Week 4</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200</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500</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0.3</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Beta expansion, early referral rewards active</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Week 12</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500</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2,500</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0.5</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Public launch, PR coverage, social sharing</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Week 24</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2,000</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12,000</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0.8</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Ambassador program traction, partner integrations</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Week 36</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5,000</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30,000</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1.1</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Viral loops self-sustaining, mobile app launch</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Week 52</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8,000</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65,000</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1.3</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Network effects, word-of-mouth dominance</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10. Failure-Proofing Rules &amp; Risk Mitigation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Beamo is architected for resilience at every layer — payments, platform infrastructure, business operations, and user trust. The following rules are non-negotiable design constraints that inform every engineering decision, operational procedure, and business practice. These rules exist to protect the platform, its users, and the business from the most common and most catastrophic failure modes in fintech and SaaS companies.</w:t>
      </w:r>
    </w:p>
    <w:p>
      <w:pPr>
        <w:pStyle w:val="Heading2"/>
        <w:spacing w:after="120" w:before="360" w:line="312" w:lineRule="auto"/>
      </w:pPr>
      <w:r>
        <w:rPr>
          <w:rFonts w:ascii="Calibri" w:cs="Calibri" w:eastAsia="Calibri" w:hAnsi="Calibri"/>
          <w:color w:val="1A1A1A"/>
          <w:sz w:val="36"/>
          <w:szCs w:val="36"/>
        </w:rPr>
        <w:t xml:space="preserve">10.1 Payment Failure-Proofing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Beamo NEVER holds user funds.</w:t>
      </w:r>
      <w:r>
        <w:rPr>
          <w:rFonts w:ascii="Calibri" w:cs="Calibri" w:eastAsia="Calibri" w:hAnsi="Calibri"/>
          <w:b w:val="false"/>
          <w:bCs w:val="false"/>
          <w:i w:val="false"/>
          <w:iCs w:val="false"/>
          <w:strike w:val="false"/>
          <w:color w:val="000000"/>
          <w:sz w:val="22"/>
          <w:szCs w:val="22"/>
        </w:rPr>
        <w:t xml:space="preserve"> All funds flow directly between the user and the payment processor. There is no Beamo-controlled escrow, wallet, or intermediate holding account. This is the foundational architectural constraint from which all other payment safety properties derive.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All payment state transitions are idempotent.</w:t>
      </w:r>
      <w:r>
        <w:rPr>
          <w:rFonts w:ascii="Calibri" w:cs="Calibri" w:eastAsia="Calibri" w:hAnsi="Calibri"/>
          <w:b w:val="false"/>
          <w:bCs w:val="false"/>
          <w:i w:val="false"/>
          <w:iCs w:val="false"/>
          <w:strike w:val="false"/>
          <w:color w:val="000000"/>
          <w:sz w:val="22"/>
          <w:szCs w:val="22"/>
        </w:rPr>
        <w:t xml:space="preserve"> Every payment operation (creation, confirmation, refund) uses idempotency keys to ensure that retries — whether caused by network timeouts, client-side errors, or infrastructure issues — cannot result in double-charges, duplicate payouts, or orphaned transactions.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Webhook verification with cryptographic signatures.</w:t>
      </w:r>
      <w:r>
        <w:rPr>
          <w:rFonts w:ascii="Calibri" w:cs="Calibri" w:eastAsia="Calibri" w:hAnsi="Calibri"/>
          <w:b w:val="false"/>
          <w:bCs w:val="false"/>
          <w:i w:val="false"/>
          <w:iCs w:val="false"/>
          <w:strike w:val="false"/>
          <w:color w:val="000000"/>
          <w:sz w:val="22"/>
          <w:szCs w:val="22"/>
        </w:rPr>
        <w:t xml:space="preserve"> All incoming webhooks from payment processors are verified using HMAC-SHA256 signatures against shared secrets. Unsigned, tampered, or replayed webhooks are rejected immediately and logged for security review.</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Automatic retry with exponential backoff.</w:t>
      </w:r>
      <w:r>
        <w:rPr>
          <w:rFonts w:ascii="Calibri" w:cs="Calibri" w:eastAsia="Calibri" w:hAnsi="Calibri"/>
          <w:b w:val="false"/>
          <w:bCs w:val="false"/>
          <w:i w:val="false"/>
          <w:iCs w:val="false"/>
          <w:strike w:val="false"/>
          <w:color w:val="000000"/>
          <w:sz w:val="22"/>
          <w:szCs w:val="22"/>
        </w:rPr>
        <w:t xml:space="preserve"> Transient processor failures trigger automatic retry with exponential backoff (1s, 4s, 16s) up to a maximum of 3 retries. After exhausting retries, the transaction is moved to a failed state with clear user-facing messaging and a manual retry option.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Dead letter queue for failed webhooks.</w:t>
      </w:r>
      <w:r>
        <w:rPr>
          <w:rFonts w:ascii="Calibri" w:cs="Calibri" w:eastAsia="Calibri" w:hAnsi="Calibri"/>
          <w:b w:val="false"/>
          <w:bCs w:val="false"/>
          <w:i w:val="false"/>
          <w:iCs w:val="false"/>
          <w:strike w:val="false"/>
          <w:color w:val="000000"/>
          <w:sz w:val="22"/>
          <w:szCs w:val="22"/>
        </w:rPr>
        <w:t xml:space="preserve"> Webhooks that fail processing after retry are routed to a dead letter queue for manual review. Alerting triggers within 5 minutes of any webhook entering the dead letter queue, ensuring rapid human intervention.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Circuit breaker pattern on processor APIs.</w:t>
      </w:r>
      <w:r>
        <w:rPr>
          <w:rFonts w:ascii="Calibri" w:cs="Calibri" w:eastAsia="Calibri" w:hAnsi="Calibri"/>
          <w:b w:val="false"/>
          <w:bCs w:val="false"/>
          <w:i w:val="false"/>
          <w:iCs w:val="false"/>
          <w:strike w:val="false"/>
          <w:color w:val="000000"/>
          <w:sz w:val="22"/>
          <w:szCs w:val="22"/>
        </w:rPr>
        <w:t xml:space="preserve"> If a payment processor's API begins returning errors at a rate exceeding 10% of requests over a 60-second window, the circuit breaker opens and Beamo displays graceful fallback messaging to users — never silent failure. The status page is updated automatically, and the engineering team is alerted immediately.</w:t>
      </w:r>
    </w:p>
    <w:p>
      <w:pPr>
        <w:pStyle w:val="Heading2"/>
        <w:spacing w:after="120" w:before="360" w:line="312" w:lineRule="auto"/>
      </w:pPr>
      <w:r>
        <w:rPr>
          <w:rFonts w:ascii="Calibri" w:cs="Calibri" w:eastAsia="Calibri" w:hAnsi="Calibri"/>
          <w:color w:val="1A1A1A"/>
          <w:sz w:val="36"/>
          <w:szCs w:val="36"/>
        </w:rPr>
        <w:t xml:space="preserve">10.2 Platform Failure-Proofing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99.9% uptime SLA target.</w:t>
      </w:r>
      <w:r>
        <w:rPr>
          <w:rFonts w:ascii="Calibri" w:cs="Calibri" w:eastAsia="Calibri" w:hAnsi="Calibri"/>
          <w:b w:val="false"/>
          <w:bCs w:val="false"/>
          <w:i w:val="false"/>
          <w:iCs w:val="false"/>
          <w:strike w:val="false"/>
          <w:color w:val="000000"/>
          <w:sz w:val="22"/>
          <w:szCs w:val="22"/>
        </w:rPr>
        <w:t xml:space="preserve"> Supabase's managed infrastructure provides enterprise-grade reliability for the backend. The frontend is served via Vercel's globally distributed edge network with automatic failover. Combined, this architecture targets 99.9% uptime (less than 8.76 hours of downtime per year).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Database backups: PITR, daily snapshots, cross-region replication.</w:t>
      </w:r>
      <w:r>
        <w:rPr>
          <w:rFonts w:ascii="Calibri" w:cs="Calibri" w:eastAsia="Calibri" w:hAnsi="Calibri"/>
          <w:b w:val="false"/>
          <w:bCs w:val="false"/>
          <w:i w:val="false"/>
          <w:iCs w:val="false"/>
          <w:strike w:val="false"/>
          <w:color w:val="000000"/>
          <w:sz w:val="22"/>
          <w:szCs w:val="22"/>
        </w:rPr>
        <w:t xml:space="preserve"> Point-in-time recovery enables restoration to any second within the retention window. Daily snapshots provide additional recovery points. Cross-region replication ensures data survives a complete regional infrastructure failure.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Rate limiting on all endpoints.</w:t>
      </w:r>
      <w:r>
        <w:rPr>
          <w:rFonts w:ascii="Calibri" w:cs="Calibri" w:eastAsia="Calibri" w:hAnsi="Calibri"/>
          <w:b w:val="false"/>
          <w:bCs w:val="false"/>
          <w:i w:val="false"/>
          <w:iCs w:val="false"/>
          <w:strike w:val="false"/>
          <w:color w:val="000000"/>
          <w:sz w:val="22"/>
          <w:szCs w:val="22"/>
        </w:rPr>
        <w:t xml:space="preserve"> Every API endpoint is rate-limited based on authentication level, with configurable limits per API key. This prevents DDoS attacks, API abuse, and accidental infinite loops from partner integrations. Rate limit headers are included in every response for client-side awareness.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Feature flags for all new features.</w:t>
      </w:r>
      <w:r>
        <w:rPr>
          <w:rFonts w:ascii="Calibri" w:cs="Calibri" w:eastAsia="Calibri" w:hAnsi="Calibri"/>
          <w:b w:val="false"/>
          <w:bCs w:val="false"/>
          <w:i w:val="false"/>
          <w:iCs w:val="false"/>
          <w:strike w:val="false"/>
          <w:color w:val="000000"/>
          <w:sz w:val="22"/>
          <w:szCs w:val="22"/>
        </w:rPr>
        <w:t xml:space="preserve"> Every new feature is deployed behind a feature flag, enabling instant rollback without deployment, gradual rollout to user cohorts, and A/B testing of feature variations. Feature flags are managed through a centralized configuration system with audit logging.</w:t>
      </w:r>
    </w:p>
    <w:p>
      <w:pPr>
        <w:pStyle w:val="Heading2"/>
        <w:spacing w:after="120" w:before="360" w:line="312" w:lineRule="auto"/>
      </w:pPr>
      <w:r>
        <w:rPr>
          <w:rFonts w:ascii="Calibri" w:cs="Calibri" w:eastAsia="Calibri" w:hAnsi="Calibri"/>
          <w:color w:val="1A1A1A"/>
          <w:sz w:val="36"/>
          <w:szCs w:val="36"/>
        </w:rPr>
        <w:t xml:space="preserve">10.3 Business Failure-Proofing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Burn rate monitoring.</w:t>
      </w:r>
      <w:r>
        <w:rPr>
          <w:rFonts w:ascii="Calibri" w:cs="Calibri" w:eastAsia="Calibri" w:hAnsi="Calibri"/>
          <w:b w:val="false"/>
          <w:bCs w:val="false"/>
          <w:i w:val="false"/>
          <w:iCs w:val="false"/>
          <w:strike w:val="false"/>
          <w:color w:val="000000"/>
          <w:sz w:val="22"/>
          <w:szCs w:val="22"/>
        </w:rPr>
        <w:t xml:space="preserve"> Automated financial alerts trigger when projected runway drops below 6 months based on trailing 3-month burn rate. This ensures the founding team has adequate time to raise additional capital, reduce expenses, or pivot strategy before reaching critical cash levels.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Revenue diversification.</w:t>
      </w:r>
      <w:r>
        <w:rPr>
          <w:rFonts w:ascii="Calibri" w:cs="Calibri" w:eastAsia="Calibri" w:hAnsi="Calibri"/>
          <w:b w:val="false"/>
          <w:bCs w:val="false"/>
          <w:i w:val="false"/>
          <w:iCs w:val="false"/>
          <w:strike w:val="false"/>
          <w:color w:val="000000"/>
          <w:sz w:val="22"/>
          <w:szCs w:val="22"/>
        </w:rPr>
        <w:t xml:space="preserve"> No single revenue stream should exceed 60% of total revenue. This constraint ensures that the business is resilient to disruption in any one revenue channel (e.g., if a payment processor changes their fee structure, subscription churn spikes, or a major partner churns).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Legal entity structure.</w:t>
      </w:r>
      <w:r>
        <w:rPr>
          <w:rFonts w:ascii="Calibri" w:cs="Calibri" w:eastAsia="Calibri" w:hAnsi="Calibri"/>
          <w:b w:val="false"/>
          <w:bCs w:val="false"/>
          <w:i w:val="false"/>
          <w:iCs w:val="false"/>
          <w:strike w:val="false"/>
          <w:color w:val="000000"/>
          <w:sz w:val="22"/>
          <w:szCs w:val="22"/>
        </w:rPr>
        <w:t xml:space="preserve"> Proper LLC or Corporation separation for liability protection, with separate operating and holding entities as appropriate. Legal counsel is engaged before launch to ensure optimal entity structure for both operational protection and investor readiness.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Insurance from day one.</w:t>
      </w:r>
      <w:r>
        <w:rPr>
          <w:rFonts w:ascii="Calibri" w:cs="Calibri" w:eastAsia="Calibri" w:hAnsi="Calibri"/>
          <w:b w:val="false"/>
          <w:bCs w:val="false"/>
          <w:i w:val="false"/>
          <w:iCs w:val="false"/>
          <w:strike w:val="false"/>
          <w:color w:val="000000"/>
          <w:sz w:val="22"/>
          <w:szCs w:val="22"/>
        </w:rPr>
        <w:t xml:space="preserve"> Errors and Omissions (E&amp;O) insurance and cyber liability insurance are secured before public launch. These policies protect against claims arising from platform errors, data breaches, and professional liability.</w:t>
      </w:r>
    </w:p>
    <w:p>
      <w:pPr>
        <w:pStyle w:val="Heading2"/>
        <w:spacing w:after="120" w:before="360" w:line="312" w:lineRule="auto"/>
      </w:pPr>
      <w:r>
        <w:rPr>
          <w:rFonts w:ascii="Calibri" w:cs="Calibri" w:eastAsia="Calibri" w:hAnsi="Calibri"/>
          <w:color w:val="1A1A1A"/>
          <w:sz w:val="36"/>
          <w:szCs w:val="36"/>
        </w:rPr>
        <w:t xml:space="preserve">10.4 User Trust Failure-Proofing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Transparent incident communication.</w:t>
      </w:r>
      <w:r>
        <w:rPr>
          <w:rFonts w:ascii="Calibri" w:cs="Calibri" w:eastAsia="Calibri" w:hAnsi="Calibri"/>
          <w:b w:val="false"/>
          <w:bCs w:val="false"/>
          <w:i w:val="false"/>
          <w:iCs w:val="false"/>
          <w:strike w:val="false"/>
          <w:color w:val="000000"/>
          <w:sz w:val="22"/>
          <w:szCs w:val="22"/>
        </w:rPr>
        <w:t xml:space="preserve"> A public status page (e.g., status.beamo.app) is maintained with real-time incident tracking. Post-incident reviews (post-mortems) are published within 48 hours of any incident impacting user-facing functionality, including root cause analysis, impact assessment, and prevention measures.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User fund protection guarantee.</w:t>
      </w:r>
      <w:r>
        <w:rPr>
          <w:rFonts w:ascii="Calibri" w:cs="Calibri" w:eastAsia="Calibri" w:hAnsi="Calibri"/>
          <w:b w:val="false"/>
          <w:bCs w:val="false"/>
          <w:i w:val="false"/>
          <w:iCs w:val="false"/>
          <w:strike w:val="false"/>
          <w:color w:val="000000"/>
          <w:sz w:val="22"/>
          <w:szCs w:val="22"/>
        </w:rPr>
        <w:t xml:space="preserve"> Since Beamo never holds funds, user money is always in their processor account (Stripe, PayPal, or bank account). Beamo's operational status has zero impact on the safety of user funds — a critical trust differentiator over platforms that custody user balances.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GDPR/CCPA readiness from launch.</w:t>
      </w:r>
      <w:r>
        <w:rPr>
          <w:rFonts w:ascii="Calibri" w:cs="Calibri" w:eastAsia="Calibri" w:hAnsi="Calibri"/>
          <w:b w:val="false"/>
          <w:bCs w:val="false"/>
          <w:i w:val="false"/>
          <w:iCs w:val="false"/>
          <w:strike w:val="false"/>
          <w:color w:val="000000"/>
          <w:sz w:val="22"/>
          <w:szCs w:val="22"/>
        </w:rPr>
        <w:t xml:space="preserve"> Data deletion, data export, consent management, and privacy controls are built into the platform from launch — not retrofitted later. Every data collection point includes clear consent language, and users can exercise their rights through self-service tools without contacting support.</w:t>
      </w:r>
    </w:p>
    <w:p>
      <w:pPr>
        <w:pStyle w:val="Heading2"/>
        <w:spacing w:after="120" w:before="360" w:line="312" w:lineRule="auto"/>
      </w:pPr>
      <w:r>
        <w:rPr>
          <w:rFonts w:ascii="Calibri" w:cs="Calibri" w:eastAsia="Calibri" w:hAnsi="Calibri"/>
          <w:color w:val="1A1A1A"/>
          <w:sz w:val="36"/>
          <w:szCs w:val="36"/>
        </w:rPr>
        <w:t xml:space="preserve">10.5 Risk Matrix</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Risk</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Likelihood</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Impact</w:t>
            </w:r>
          </w:p>
        </w:tc>
        <w:tc>
          <w:tcPr>
            <w:tcW w:type="pct" w:w="4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Mitigation</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Owner</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Primary payment processor (Stripe) outage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Medium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Circuit breaker pattern, graceful degradation, secondary processor fallback (PayPal), real-time status page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Engineering Lead</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Referral fraud / abuse at scale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Medium</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Velocity limits, device fingerprinting, minimum transaction threshold, clawback policy, ML-based fraud detection (Phase 2)</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Product Lead</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Data breach / unauthorized access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Critical</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RLS policies, HTTPS/TLS 1.3, penetration testing, SOC 2 readiness, cyber liability insurance, incident response plan</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CTO / Security</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Regulatory reclassification as money transmitter</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Critical</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Legal opinion letter before launch, architectural documentation proving no fund custody, ongoing regulatory monitoring, external legal counsel on retainer</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Founder / Legal</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User growth below projections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Medium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Diversified growth channels (organic, referral, partner, paid), rapid iteration on viral mechanics, expanded persona targeting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Founder / Growth</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Key technology vendor (Supabase) discontinuation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Supabase is open-source (self-hostable), standard PostgreSQL ensures portability, abstraction layer isolates vendor-specific code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Engineering Lead</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Competitor launches identical product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Medium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Medium</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First-mover advantage in orchestration-only model, network effects from viral growth, brand loyalty from UPR commitment, continuous feature innovation</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Founder / Product</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Cash runway depletion before revenue targets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Medium</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Critical</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6-month burn rate alerts, lean operations philosophy, phased hiring, revenue milestones tied to spending authorization</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Founder / Finance</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11. Technical Requirements &amp; Infrastructure</w:t>
      </w:r>
    </w:p>
    <w:p>
      <w:pPr>
        <w:pStyle w:val="Heading2"/>
        <w:spacing w:after="120" w:before="360" w:line="312" w:lineRule="auto"/>
      </w:pPr>
      <w:r>
        <w:rPr>
          <w:rFonts w:ascii="Calibri" w:cs="Calibri" w:eastAsia="Calibri" w:hAnsi="Calibri"/>
          <w:color w:val="1A1A1A"/>
          <w:sz w:val="36"/>
          <w:szCs w:val="36"/>
        </w:rPr>
        <w:t xml:space="preserve">11.1 Frontend Stack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Component</w:t>
            </w:r>
          </w:p>
        </w:tc>
        <w:tc>
          <w:tcPr>
            <w:tcW w:type="pct" w:w="8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Specification</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Framework</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Next.js 14+ (App Router) with React 18+, TypeScript strict mode enabled across the entire codebase</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Styling</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Tailwind CSS for utility-first styling, with a custom design system built as a Tailwind plugin ensuring brand consistency across all components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State Management</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Zustand for global client state (user session, preferences, cart); React Query (TanStack Query) for server state management with automatic caching, revalidation, and optimistic updates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Mobile Applications</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React Native via Expo for iOS and Android, sharing business logic and design tokens with the web application. Expo Application Services (EAS) for managed builds and over-the-air updates.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Progressive Web App</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Service worker for offline access to payment history, push notification support, and app-like installation on mobile devices. Follows Google's PWA checklist for Lighthouse score &gt; 90.</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Testing</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Vitest for unit tests, Playwright for end-to-end testing, Storybook for component documentation and visual regression testing</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11.2 Backend Stack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Component</w:t>
            </w:r>
          </w:p>
        </w:tc>
        <w:tc>
          <w:tcPr>
            <w:tcW w:type="pct" w:w="8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Specification</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Platform</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Supabase Cloud — managed PostgreSQL 15+, Supabase Auth, Supabase Realtime, Edge Functions (Deno runtime), and Supabase Storage for file uploads (receipts, invoices, brand assets)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API Layer</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RESTful API auto-generated via PostgREST with full OpenAPI specification. Optional GraphQL layer via pg_graphql extension for partners needing flexible query patterns.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Edge Functions</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Deno-based serverless functions for payment orchestration logic, webhook handling, fee computation, referral credit processing, and email trigger workflows. Deployed globally for low-latency execution.</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Authentication</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Supabase Auth supporting email/password, OAuth providers (Google, Apple, GitHub), magic link (passwordless email), and phone OTP. Session management via JWT with configurable expiration and refresh token rotation.</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Authorization</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Row Level Security (RLS) policies on all database tables, enforcing data isolation at the database level. Policies are defined per table and per operation (SELECT, INSERT, UPDATE, DELETE) based on the authenticated user's ID, role, and subscription tier.</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Background Jobs</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pg_cron for scheduled tasks (daily analytics aggregation, subscription renewal processing, referral tier evaluation) and Supabase Realtime for event-driven processing.</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11.3 Payment Integration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Processor</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Priority</w:t>
            </w:r>
          </w:p>
        </w:tc>
        <w:tc>
          <w:tcPr>
            <w:tcW w:type="pct" w:w="7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Implementation Details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Stripe Connect</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Primary (MVP)</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Express accounts for marketplace model. Each Beamo user creates a Stripe Connected Account during onboarding. Stripe handles identity verification (KYC/AML), card data collection, fund disbursement, and 1099 tax reporting. Beamo collects the platform fee via Stripe's application_fee_amount parameter on each payment intent.</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PayPal</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Secondary (Phase 3)</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PayPal Commerce Platform integration for users who prefer PayPal as their payment method. Implements PayPal's partner referral API for onboarding and PayPal Orders API for payment processing.</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Apple Pay / Google Pay</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Future (Phase 3)</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Implemented via Stripe's Payment Request Button, enabling native wallet payments without additional processor integration. Reduces checkout friction on mobile devices.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ACH Direct</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Future (Phase 3)</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Low-cost bank-to-bank transfers via Stripe's ACH integration, offering lower fees for high-volume business transactions where instant settlement is not required.</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PCI Compliance:</w:t>
      </w:r>
      <w:r>
        <w:rPr>
          <w:rFonts w:ascii="Calibri" w:cs="Calibri" w:eastAsia="Calibri" w:hAnsi="Calibri"/>
          <w:b w:val="false"/>
          <w:bCs w:val="false"/>
          <w:i w:val="false"/>
          <w:iCs w:val="false"/>
          <w:strike w:val="false"/>
          <w:color w:val="000000"/>
          <w:sz w:val="22"/>
          <w:szCs w:val="22"/>
        </w:rPr>
        <w:t xml:space="preserve"> Beamo qualifies for SAQ-A (Self-Assessment Questionnaire A), the simplest PCI compliance level. All cardholder data is collected and processed entirely by Stripe and PayPal through their hosted payment elements. No card numbers, CVVs, or sensitive authentication data ever touch Beamo's servers, databases, or logs.</w:t>
      </w:r>
    </w:p>
    <w:p>
      <w:pPr>
        <w:pStyle w:val="Heading2"/>
        <w:spacing w:after="120" w:before="360" w:line="312" w:lineRule="auto"/>
      </w:pPr>
      <w:r>
        <w:rPr>
          <w:rFonts w:ascii="Calibri" w:cs="Calibri" w:eastAsia="Calibri" w:hAnsi="Calibri"/>
          <w:color w:val="1A1A1A"/>
          <w:sz w:val="36"/>
          <w:szCs w:val="36"/>
        </w:rPr>
        <w:t xml:space="preserve">11.4 Infrastructure &amp; DevOps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Component</w:t>
            </w:r>
          </w:p>
        </w:tc>
        <w:tc>
          <w:tcPr>
            <w:tcW w:type="pct" w:w="8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Specification</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Frontend Hosting</w:t>
            </w:r>
          </w:p>
        </w:tc>
        <w:tc>
          <w:tcPr>
            <w:tcW w:type="pct" w:w="8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Vercel — automatic preview deploys for every pull request, production deploys on merge to main branch, global edge network for CDN delivery</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Backend Hosting</w:t>
            </w:r>
          </w:p>
        </w:tc>
        <w:tc>
          <w:tcPr>
            <w:tcW w:type="pct" w:w="8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Supabase Cloud — managed infrastructure with automatic scaling, built-in monitoring, and 99.9% uptime SLA</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CDN</w:t>
            </w:r>
          </w:p>
        </w:tc>
        <w:tc>
          <w:tcPr>
            <w:tcW w:type="pct" w:w="8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Vercel Edge Network for static assets, API route caching at the edge for frequently accessed public data</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Monitoring</w:t>
            </w:r>
          </w:p>
        </w:tc>
        <w:tc>
          <w:tcPr>
            <w:tcW w:type="pct" w:w="8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Sentry for error tracking and performance monitoring across frontend and backend. Grafana Cloud (or Datadog) for APM, infrastructure metrics, custom dashboards, and alerting.</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CI/CD Pipeline</w:t>
            </w:r>
          </w:p>
        </w:tc>
        <w:tc>
          <w:tcPr>
            <w:tcW w:type="pct" w:w="8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GitHub Actions for automated testing (unit, integration, e2e), linting, type checking, and deployment. Pull requests trigger Vercel preview deploys and run the full test suite. Merges to main trigger production deployment.</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Environments</w:t>
            </w:r>
          </w:p>
        </w:tc>
        <w:tc>
          <w:tcPr>
            <w:tcW w:type="pct" w:w="8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Three-environment architecture: Development (local + Supabase local), Staging (Supabase branch database + Vercel preview), Production (Supabase production + Vercel production). Supabase branching enables database schema migrations to be tested in isolated environments before production deployment.</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11.5 Performance Targets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Metric</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Target</w:t>
            </w:r>
          </w:p>
        </w:tc>
        <w:tc>
          <w:tcPr>
            <w:tcW w:type="pct" w:w="5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Measurement</w:t>
            </w:r>
          </w:p>
        </w:tc>
      </w:tr>
      <w:tr>
        <w:trPr>
          <w:tblHeader w:val="false"/>
        </w:trPr>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API Response Time (p95)</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&lt; 200ms</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Server-side latency for 95th percentile requests, measured at API Gateway</w:t>
            </w:r>
          </w:p>
        </w:tc>
      </w:tr>
      <w:tr>
        <w:trPr>
          <w:tblHeader w:val="false"/>
        </w:trPr>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Largest Contentful Paint (LCP)</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&lt; 2.5 seconds</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Core Web Vitals metric, measured via Lighthouse and real user monitoring</w:t>
            </w:r>
          </w:p>
        </w:tc>
      </w:tr>
      <w:tr>
        <w:trPr>
          <w:tblHeader w:val="false"/>
        </w:trPr>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First Input Delay (FID)</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&lt; 100ms</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Core Web Vitals metric, measuring interactive responsiveness</w:t>
            </w:r>
          </w:p>
        </w:tc>
      </w:tr>
      <w:tr>
        <w:trPr>
          <w:tblHeader w:val="false"/>
        </w:trPr>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Cumulative Layout Shift (CLS)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&lt; 0.1</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Core Web Vitals metric, measuring visual stability during page load</w:t>
            </w:r>
          </w:p>
        </w:tc>
      </w:tr>
      <w:tr>
        <w:trPr>
          <w:tblHeader w:val="false"/>
        </w:trPr>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Payment Link Generation</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&lt; 500ms</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End-to-end time from user action to shareable link available</w:t>
            </w:r>
          </w:p>
        </w:tc>
      </w:tr>
      <w:tr>
        <w:trPr>
          <w:tblHeader w:val="false"/>
        </w:trPr>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Concurrent User Support (Year 1)</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10,000 concurrent</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Load tested with simulated traffic patterns matching expected usage</w:t>
            </w:r>
          </w:p>
        </w:tc>
      </w:tr>
      <w:tr>
        <w:trPr>
          <w:tblHeader w:val="false"/>
        </w:trPr>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Concurrent User Support (Year 2+)</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100,000+ concurrent</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Achieved through horizontal scaling of edge functions and database read replicas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11.6 Core Data Model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table describes the primary data entities in the Beamo platform, their key attributes, and their relationships. This model is implemented in PostgreSQL with Row Level Security policies ensuring strict data isolation.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Entity</w:t>
            </w:r>
          </w:p>
        </w:tc>
        <w:tc>
          <w:tcPr>
            <w:tcW w:type="pct" w:w="4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Key Attributes</w:t>
            </w:r>
          </w:p>
        </w:tc>
        <w:tc>
          <w:tcPr>
            <w:tcW w:type="pct" w:w="4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Relationships &amp; Notes</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Users</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 (UUID), email, phone, display_name, avatar_url, subscription_tier, referral_code, referred_by, ambassador_tier, stripe_account_id, created_at</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Central entity. Has many Transactions, PaymentLinks, Referrals, Subscriptions. RLS: users can only read/write their own row.</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Transactions</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 sender_id, recipient_id, amount, currency, processor (stripe/paypal), processor_transaction_id, platform_fee, processor_fee, status (pending/completed/failed/refunded), idempotency_key, created_at</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Belongs to sender (User) and recipient (User). Immutable after creation — status changes are appended, not overwritten. RLS: accessible to sender and recipient only.</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PaymentLinks</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 creator_id, slug (unique short URL), amount (nullable for open-amount), description, is_active, expires_at, view_count, conversion_count, created_at</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Belongs to creator (User). Generates Transactions when paid. Slug is URL-safe and globally unique. RLS: creator has full access; public read for active links.</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Referrals</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 referrer_id, referred_user_id, status (pending/qualified/rewarded/clawed_back), reward_type, reward_amount, qualifying_transaction_id, created_at</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Belongs to referrer (User) and referred user (User). Transitions to “qualified” when referred user completes minimum transaction. RLS: referrer can read own referrals.</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Subscriptions</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 user_id, plan_id, status (active/canceled/past_due), current_period_start, current_period_end, stripe_subscription_id, created_at</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Belongs to User. Links to PricingConfig for plan details. Managed via Stripe Billing for recurring charge handling.</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Partners</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 company_name, tier (affiliate/integration/enterprise), api_key_hash, revenue_share_pct, contact_email, status (active/suspended), total_volume, total_revenue_shared, created_at</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Has many Transactions (via partner attribution). API key is hashed at rest. RLS: partners access only their own data and attributed transactions.</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AuditLog</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 actor_id, action, entity_type, entity_id, before_value (JSONB), after_value (JSONB), ip_address, created_at</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Append-only table. No UPDATE or DELETE permissions granted to any role. Retained for minimum 7 years. Used for compliance, debugging, and security investigations.</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PricingConfig</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 plan_name, tier, monthly_price, annual_price, fee_overlay_pct, volume_limit, feature_flags (JSONB), is_active, effective_date, created_by, created_at</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Managed exclusively through Admin Pricing Console. Versioned — new configs create new rows, old configs are soft-archived. RLS: read by all authenticated users; write restricted to Admin roles.</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12. Security, Compliance &amp; Legal Requirements</w:t>
      </w:r>
    </w:p>
    <w:p>
      <w:pPr>
        <w:pStyle w:val="Heading2"/>
        <w:spacing w:after="120" w:before="360" w:line="312" w:lineRule="auto"/>
      </w:pPr>
      <w:r>
        <w:rPr>
          <w:rFonts w:ascii="Calibri" w:cs="Calibri" w:eastAsia="Calibri" w:hAnsi="Calibri"/>
          <w:color w:val="1A1A1A"/>
          <w:sz w:val="36"/>
          <w:szCs w:val="36"/>
        </w:rPr>
        <w:t xml:space="preserve">12.1 Security Architecture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Beamo's security architecture follows defense-in-depth principles, implementing multiple overlapping security controls at every layer of the stack. Security is not an afterthought or a Phase 2 concern — it is a foundational design constraint that informs every architectural decision from day one.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Transport Security:</w:t>
      </w:r>
      <w:r>
        <w:rPr>
          <w:rFonts w:ascii="Calibri" w:cs="Calibri" w:eastAsia="Calibri" w:hAnsi="Calibri"/>
          <w:b w:val="false"/>
          <w:bCs w:val="false"/>
          <w:i w:val="false"/>
          <w:iCs w:val="false"/>
          <w:strike w:val="false"/>
          <w:color w:val="000000"/>
          <w:sz w:val="22"/>
          <w:szCs w:val="22"/>
        </w:rPr>
        <w:t xml:space="preserve"> All communications are encrypted with HTTPS/TLS 1.3. HTTP Strict Transport Security (HSTS) headers are set with a minimum max-age of one year. Certificate transparency logging is enabled for all domains.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Data Isolation:</w:t>
      </w:r>
      <w:r>
        <w:rPr>
          <w:rFonts w:ascii="Calibri" w:cs="Calibri" w:eastAsia="Calibri" w:hAnsi="Calibri"/>
          <w:b w:val="false"/>
          <w:bCs w:val="false"/>
          <w:i w:val="false"/>
          <w:iCs w:val="false"/>
          <w:strike w:val="false"/>
          <w:color w:val="000000"/>
          <w:sz w:val="22"/>
          <w:szCs w:val="22"/>
        </w:rPr>
        <w:t xml:space="preserve"> Supabase Row Level Security (RLS) policies enforce strict tenant isolation at the database level. Even if application-level authorization is bypassed through a bug or exploit, RLS prevents cross-tenant data access. Every table has explicit RLS policies — tables without policies are denied all access by default.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API Key Management:</w:t>
      </w:r>
      <w:r>
        <w:rPr>
          <w:rFonts w:ascii="Calibri" w:cs="Calibri" w:eastAsia="Calibri" w:hAnsi="Calibri"/>
          <w:b w:val="false"/>
          <w:bCs w:val="false"/>
          <w:i w:val="false"/>
          <w:iCs w:val="false"/>
          <w:strike w:val="false"/>
          <w:color w:val="000000"/>
          <w:sz w:val="22"/>
          <w:szCs w:val="22"/>
        </w:rPr>
        <w:t xml:space="preserve"> Separate publishable keys (safe for frontend embedding, limited to read operations on public data) and secret keys (backend only, full API access). Secret keys are never exposed to client-side code, version control, or logs. Key rotation is supported without downtime.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Webhook Security:</w:t>
      </w:r>
      <w:r>
        <w:rPr>
          <w:rFonts w:ascii="Calibri" w:cs="Calibri" w:eastAsia="Calibri" w:hAnsi="Calibri"/>
          <w:b w:val="false"/>
          <w:bCs w:val="false"/>
          <w:i w:val="false"/>
          <w:iCs w:val="false"/>
          <w:strike w:val="false"/>
          <w:color w:val="000000"/>
          <w:sz w:val="22"/>
          <w:szCs w:val="22"/>
        </w:rPr>
        <w:t xml:space="preserve"> All inbound webhooks from Stripe and PayPal are verified using HMAC-SHA256 signature validation against shared secrets. Replay attacks are prevented through timestamp validation (rejecting webhooks older than 5 minutes) and idempotency key tracking.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Input Validation:</w:t>
      </w:r>
      <w:r>
        <w:rPr>
          <w:rFonts w:ascii="Calibri" w:cs="Calibri" w:eastAsia="Calibri" w:hAnsi="Calibri"/>
          <w:b w:val="false"/>
          <w:bCs w:val="false"/>
          <w:i w:val="false"/>
          <w:iCs w:val="false"/>
          <w:strike w:val="false"/>
          <w:color w:val="000000"/>
          <w:sz w:val="22"/>
          <w:szCs w:val="22"/>
        </w:rPr>
        <w:t xml:space="preserve"> All user inputs are validated and sanitized on both client and server sides. PostgREST's parameterized queries prevent SQL injection by design. Content Security Policy (CSP) headers prevent XSS attacks.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Session Security:</w:t>
      </w:r>
      <w:r>
        <w:rPr>
          <w:rFonts w:ascii="Calibri" w:cs="Calibri" w:eastAsia="Calibri" w:hAnsi="Calibri"/>
          <w:b w:val="false"/>
          <w:bCs w:val="false"/>
          <w:i w:val="false"/>
          <w:iCs w:val="false"/>
          <w:strike w:val="false"/>
          <w:color w:val="000000"/>
          <w:sz w:val="22"/>
          <w:szCs w:val="22"/>
        </w:rPr>
        <w:t xml:space="preserve"> CSRF protection via SameSite=Strict cookie attribute and anti-CSRF tokens. HttpOnly cookies prevent client-side script access to session tokens. Secure flag ensures cookies are only transmitted over HTTPS.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Penetration Testing:</w:t>
      </w:r>
      <w:r>
        <w:rPr>
          <w:rFonts w:ascii="Calibri" w:cs="Calibri" w:eastAsia="Calibri" w:hAnsi="Calibri"/>
          <w:b w:val="false"/>
          <w:bCs w:val="false"/>
          <w:i w:val="false"/>
          <w:iCs w:val="false"/>
          <w:strike w:val="false"/>
          <w:color w:val="000000"/>
          <w:sz w:val="22"/>
          <w:szCs w:val="22"/>
        </w:rPr>
        <w:t xml:space="preserve"> Professional penetration testing is conducted before public launch and quarterly thereafter. Critical and high-severity findings must be remediated before production deployment. Penetration test reports are retained for investor and compliance review.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SOC 2 Type II Roadmap:</w:t>
      </w:r>
      <w:r>
        <w:rPr>
          <w:rFonts w:ascii="Calibri" w:cs="Calibri" w:eastAsia="Calibri" w:hAnsi="Calibri"/>
          <w:b w:val="false"/>
          <w:bCs w:val="false"/>
          <w:i w:val="false"/>
          <w:iCs w:val="false"/>
          <w:strike w:val="false"/>
          <w:color w:val="000000"/>
          <w:sz w:val="22"/>
          <w:szCs w:val="22"/>
        </w:rPr>
        <w:t xml:space="preserve"> Beamo targets SOC 2 Type II certification by Month 18 (Q4 2027). The readiness program begins during Phase 2, with controls documentation, evidence collection, and gap analysis conducted continuously.</w:t>
      </w:r>
    </w:p>
    <w:p>
      <w:pPr>
        <w:pStyle w:val="Heading2"/>
        <w:spacing w:after="120" w:before="360" w:line="312" w:lineRule="auto"/>
      </w:pPr>
      <w:r>
        <w:rPr>
          <w:rFonts w:ascii="Calibri" w:cs="Calibri" w:eastAsia="Calibri" w:hAnsi="Calibri"/>
          <w:color w:val="1A1A1A"/>
          <w:sz w:val="36"/>
          <w:szCs w:val="36"/>
        </w:rPr>
        <w:t xml:space="preserve">12.2 Regulatory Compliance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Regulation</w:t>
            </w:r>
          </w:p>
        </w:tc>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Applicability</w:t>
            </w:r>
          </w:p>
        </w:tc>
        <w:tc>
          <w:tcPr>
            <w:tcW w:type="pct" w:w="7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Beamo's Approach</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PCI DSS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SAQ-A (simplest level)</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Beamo never stores, processes, or transmits cardholder data. All payment data is handled entirely by Stripe and PayPal through their PCI-compliant hosted payment elements. Beamo completes the SAQ-A self-assessment annually.</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GDPR</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Applicable for EU users (Phase 3+)</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Data minimization (collect only what's necessary), right to deletion (automated within 30 days), explicit consent management with granular opt-in/opt-out, Data Processing Agreement (DPA) executed with Supabase as the data processor.</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CCPA</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Applicable for California users</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Right to know (data access), right to delete, right to opt-out of data sale (Beamo does not sell data — this is a blanket policy). Privacy policy includes California-specific disclosures.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AML/KYC</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Delegated to processors</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Identity verification for Beamo users is handled entirely by Stripe Connect (for connected accounts) and PayPal (for PayPal accounts). Stripe performs KYC/AML checks as part of their account onboarding. Beamo does not collect identity documents.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Money Transmitter Licensing</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NOT required</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Beamo is a technology platform, not a money transmitter. All fund movement is handled by licensed processors (Stripe holds state MTLs; PayPal is a licensed money transmitter). A legal opinion letter from qualified fintech counsel is obtained before launch to document this position.</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 Critical Legal Action Item</w:t>
            </w:r>
          </w:p>
          <w:p>
            <w:pPr>
              <w:spacing w:after="120" w:line="360" w:lineRule="auto"/>
            </w:pPr>
            <w:r>
              <w:rPr>
                <w:rFonts w:ascii="Calibri" w:cs="Calibri" w:eastAsia="Calibri" w:hAnsi="Calibri"/>
                <w:b w:val="false"/>
                <w:bCs w:val="false"/>
                <w:i w:val="false"/>
                <w:iCs w:val="false"/>
                <w:strike w:val="false"/>
                <w:color w:val="000000"/>
                <w:sz w:val="22"/>
                <w:szCs w:val="22"/>
              </w:rPr>
              <w:t xml:space="preserve">A formal legal opinion letter from experienced fintech regulatory counsel must be obtained before public launch, confirming that Beamo's orchestration-only architecture does not constitute money transmission under federal or state law. This letter is a prerequisite for investor due diligence and protects the company against future regulatory scrutiny.</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12.3 Legal Documentation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legal documents are required before public launch. All documents must be reviewed by qualified legal counsel and comply with applicable US federal and state laws.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Terms of Service (ToS):</w:t>
      </w:r>
      <w:r>
        <w:rPr>
          <w:rFonts w:ascii="Calibri" w:cs="Calibri" w:eastAsia="Calibri" w:hAnsi="Calibri"/>
          <w:b w:val="false"/>
          <w:bCs w:val="false"/>
          <w:i w:val="false"/>
          <w:iCs w:val="false"/>
          <w:strike w:val="false"/>
          <w:color w:val="000000"/>
          <w:sz w:val="22"/>
          <w:szCs w:val="22"/>
        </w:rPr>
        <w:t xml:space="preserve"> Governs the user's relationship with Beamo, including acceptable use, liability limitations, dispute resolution (arbitration clause with opt-out provision), and account termination policies.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Privacy Policy:</w:t>
      </w:r>
      <w:r>
        <w:rPr>
          <w:rFonts w:ascii="Calibri" w:cs="Calibri" w:eastAsia="Calibri" w:hAnsi="Calibri"/>
          <w:b w:val="false"/>
          <w:bCs w:val="false"/>
          <w:i w:val="false"/>
          <w:iCs w:val="false"/>
          <w:strike w:val="false"/>
          <w:color w:val="000000"/>
          <w:sz w:val="22"/>
          <w:szCs w:val="22"/>
        </w:rPr>
        <w:t xml:space="preserve"> GDPR and CCPA-compliant privacy policy detailing data collection, use, sharing, retention, and user rights. Updated whenever data practices change.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Acceptable Use Policy:</w:t>
      </w:r>
      <w:r>
        <w:rPr>
          <w:rFonts w:ascii="Calibri" w:cs="Calibri" w:eastAsia="Calibri" w:hAnsi="Calibri"/>
          <w:b w:val="false"/>
          <w:bCs w:val="false"/>
          <w:i w:val="false"/>
          <w:iCs w:val="false"/>
          <w:strike w:val="false"/>
          <w:color w:val="000000"/>
          <w:sz w:val="22"/>
          <w:szCs w:val="22"/>
        </w:rPr>
        <w:t xml:space="preserve"> Defines prohibited activities including fraud, money laundering, sanctions violations, and abuse of the referral system. Violations result in immediate account suspension.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Partner Platform Agreement:</w:t>
      </w:r>
      <w:r>
        <w:rPr>
          <w:rFonts w:ascii="Calibri" w:cs="Calibri" w:eastAsia="Calibri" w:hAnsi="Calibri"/>
          <w:b w:val="false"/>
          <w:bCs w:val="false"/>
          <w:i w:val="false"/>
          <w:iCs w:val="false"/>
          <w:strike w:val="false"/>
          <w:color w:val="000000"/>
          <w:sz w:val="22"/>
          <w:szCs w:val="22"/>
        </w:rPr>
        <w:t xml:space="preserve"> Governs the partner relationship including API usage terms, revenue share, data handling obligations, branding guidelines, and termination provisions.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Universal Pricing Rights:</w:t>
      </w:r>
      <w:r>
        <w:rPr>
          <w:rFonts w:ascii="Calibri" w:cs="Calibri" w:eastAsia="Calibri" w:hAnsi="Calibri"/>
          <w:b w:val="false"/>
          <w:bCs w:val="false"/>
          <w:i w:val="false"/>
          <w:iCs w:val="false"/>
          <w:strike w:val="false"/>
          <w:color w:val="000000"/>
          <w:sz w:val="22"/>
          <w:szCs w:val="22"/>
        </w:rPr>
        <w:t xml:space="preserve"> Public-facing commitment document (see Section 8) that serves as both a marketing asset and a binding policy.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DMCA / Intellectual Property Policy:</w:t>
      </w:r>
      <w:r>
        <w:rPr>
          <w:rFonts w:ascii="Calibri" w:cs="Calibri" w:eastAsia="Calibri" w:hAnsi="Calibri"/>
          <w:b w:val="false"/>
          <w:bCs w:val="false"/>
          <w:i w:val="false"/>
          <w:iCs w:val="false"/>
          <w:strike w:val="false"/>
          <w:color w:val="000000"/>
          <w:sz w:val="22"/>
          <w:szCs w:val="22"/>
        </w:rPr>
        <w:t xml:space="preserve"> Procedures for reporting and addressing intellectual property infringement claims.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Cookie Policy:</w:t>
      </w:r>
      <w:r>
        <w:rPr>
          <w:rFonts w:ascii="Calibri" w:cs="Calibri" w:eastAsia="Calibri" w:hAnsi="Calibri"/>
          <w:b w:val="false"/>
          <w:bCs w:val="false"/>
          <w:i w:val="false"/>
          <w:iCs w:val="false"/>
          <w:strike w:val="false"/>
          <w:color w:val="000000"/>
          <w:sz w:val="22"/>
          <w:szCs w:val="22"/>
        </w:rPr>
        <w:t xml:space="preserve"> Transparent disclosure of cookie usage, categories (strictly necessary, analytics, marketing), and user controls.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Data Processing Agreement (DPA) Template:</w:t>
      </w:r>
      <w:r>
        <w:rPr>
          <w:rFonts w:ascii="Calibri" w:cs="Calibri" w:eastAsia="Calibri" w:hAnsi="Calibri"/>
          <w:b w:val="false"/>
          <w:bCs w:val="false"/>
          <w:i w:val="false"/>
          <w:iCs w:val="false"/>
          <w:strike w:val="false"/>
          <w:color w:val="000000"/>
          <w:sz w:val="22"/>
          <w:szCs w:val="22"/>
        </w:rPr>
        <w:t xml:space="preserve"> Standard DPA for enterprise clients, documenting Beamo's obligations as a data processor under GDPR and equivalent regulations.</w:t>
      </w:r>
    </w:p>
    <w:p>
      <w:pPr>
        <w:pStyle w:val="Heading2"/>
        <w:spacing w:after="120" w:before="360" w:line="312" w:lineRule="auto"/>
      </w:pPr>
      <w:r>
        <w:rPr>
          <w:rFonts w:ascii="Calibri" w:cs="Calibri" w:eastAsia="Calibri" w:hAnsi="Calibri"/>
          <w:color w:val="1A1A1A"/>
          <w:sz w:val="36"/>
          <w:szCs w:val="36"/>
        </w:rPr>
        <w:t xml:space="preserve">12.4 Intellectual Property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intellectual property actions are required before or concurrent with public launch: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Trademark Filing:</w:t>
      </w:r>
      <w:r>
        <w:rPr>
          <w:rFonts w:ascii="Calibri" w:cs="Calibri" w:eastAsia="Calibri" w:hAnsi="Calibri"/>
          <w:b w:val="false"/>
          <w:bCs w:val="false"/>
          <w:i w:val="false"/>
          <w:iCs w:val="false"/>
          <w:strike w:val="false"/>
          <w:color w:val="000000"/>
          <w:sz w:val="22"/>
          <w:szCs w:val="22"/>
        </w:rPr>
        <w:t xml:space="preserve"> File US trademark applications for “Beamo” (word mark) and “Just Beamo me” (word mark) in International Class 36 (financial services) and Class 42 (software services). Filing should occur before launch to establish priority date.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Domain Security:</w:t>
      </w:r>
      <w:r>
        <w:rPr>
          <w:rFonts w:ascii="Calibri" w:cs="Calibri" w:eastAsia="Calibri" w:hAnsi="Calibri"/>
          <w:b w:val="false"/>
          <w:bCs w:val="false"/>
          <w:i w:val="false"/>
          <w:iCs w:val="false"/>
          <w:strike w:val="false"/>
          <w:color w:val="000000"/>
          <w:sz w:val="22"/>
          <w:szCs w:val="22"/>
        </w:rPr>
        <w:t xml:space="preserve"> Secure primary domains (beamo.app, beamo.io) and defensive registrations (beamo.com, beamo.co, beamo.net) before any public announcement. Secure corresponding social media handles across all major platforms.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Open Source Compliance:</w:t>
      </w:r>
      <w:r>
        <w:rPr>
          <w:rFonts w:ascii="Calibri" w:cs="Calibri" w:eastAsia="Calibri" w:hAnsi="Calibri"/>
          <w:b w:val="false"/>
          <w:bCs w:val="false"/>
          <w:i w:val="false"/>
          <w:iCs w:val="false"/>
          <w:strike w:val="false"/>
          <w:color w:val="000000"/>
          <w:sz w:val="22"/>
          <w:szCs w:val="22"/>
        </w:rPr>
        <w:t xml:space="preserve"> Maintain a software bill of materials (SBOM) documenting all open-source dependencies, their licenses, and compliance obligations. Ensure no copyleft-licensed code is incorporated into proprietary components.</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13. Roadmap, KPIs &amp; Success Metrics</w:t>
      </w:r>
    </w:p>
    <w:p>
      <w:pPr>
        <w:pStyle w:val="Heading2"/>
        <w:spacing w:after="120" w:before="360" w:line="312" w:lineRule="auto"/>
      </w:pPr>
      <w:r>
        <w:rPr>
          <w:rFonts w:ascii="Calibri" w:cs="Calibri" w:eastAsia="Calibri" w:hAnsi="Calibri"/>
          <w:color w:val="1A1A1A"/>
          <w:sz w:val="36"/>
          <w:szCs w:val="36"/>
        </w:rPr>
        <w:t xml:space="preserve">13.1 Product Roadmap</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Beamo product roadmap is organized into four phases, each with clear objectives, deliverables, and success criteria. Phases are designed to build upon each other: each phase establishes the foundation required for the next, ensuring sustainable growth without premature scaling.</w:t>
      </w:r>
    </w:p>
    <w:p>
      <w:pPr>
        <w:spacing w:after="120" w:before="60" w:line="360" w:lineRule="auto"/>
      </w:pPr>
      <w:r>
        <w:rPr>
          <w:rFonts w:ascii="Calibri" w:cs="Calibri" w:eastAsia="Calibri" w:hAnsi="Calibri"/>
          <w:b/>
          <w:bCs/>
          <w:i w:val="false"/>
          <w:iCs w:val="false"/>
          <w:strike w:val="false"/>
          <w:color w:val="000000"/>
          <w:sz w:val="22"/>
          <w:szCs w:val="22"/>
        </w:rPr>
        <w:t xml:space="preserve">Phase 1 — Foundation (Q2–Q3 2026)</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Phase 1 delivers the minimum viable product and establishes Beamo's core infrastructure, user experience, and initial growth engine. The primary objective is to validate the core value proposition with real users and achieve initial product-market fit.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MVP feature set: payment link creation and sharing, user authentication (email, Google, Apple), Stripe Connect integration for payment processing, basic referral system with double-sided rewards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Marketing landing page with waitlist signup and email capture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Closed beta with approximately 100 users recruited from target persona segments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Core analytics instrumentation for funnel tracking, usage metrics, and error monitoring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Brand identity finalization and asset production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Legal documentation (ToS, Privacy Policy) reviewed and published</w:t>
      </w:r>
    </w:p>
    <w:p>
      <w:pPr>
        <w:spacing w:after="120" w:before="60" w:line="360" w:lineRule="auto"/>
      </w:pPr>
      <w:r>
        <w:rPr>
          <w:rFonts w:ascii="Calibri" w:cs="Calibri" w:eastAsia="Calibri" w:hAnsi="Calibri"/>
          <w:b/>
          <w:bCs/>
          <w:i w:val="false"/>
          <w:iCs w:val="false"/>
          <w:strike w:val="false"/>
          <w:color w:val="000000"/>
          <w:sz w:val="22"/>
          <w:szCs w:val="22"/>
        </w:rPr>
        <w:t xml:space="preserve">Phase 2 — Growth (Q4 2026 – Q1 2027)</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Phase 2 transitions from closed beta to public launch, introduces monetization through subscriptions, expands to mobile platforms, and launches the first version of the Partner Platform Engine.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Public launch with open registration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Beamo Pro and Beamo Business subscription tiers with Stripe Billing integration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Native mobile applications for iOS and Android via React Native (Expo)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Partner Platform Engine v1 with Affiliate and Integration partner tiers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Admin Pricing Console v1 with fee configuration, subscription management, and audit logging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Ambassador tier system launch (Silver, Gold, Platinum)</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Advanced analytics dashboard for Pro and Business users</w:t>
      </w:r>
    </w:p>
    <w:p>
      <w:pPr>
        <w:spacing w:after="120" w:before="60" w:line="360" w:lineRule="auto"/>
      </w:pPr>
      <w:r>
        <w:rPr>
          <w:rFonts w:ascii="Calibri" w:cs="Calibri" w:eastAsia="Calibri" w:hAnsi="Calibri"/>
          <w:b/>
          <w:bCs/>
          <w:i w:val="false"/>
          <w:iCs w:val="false"/>
          <w:strike w:val="false"/>
          <w:color w:val="000000"/>
          <w:sz w:val="22"/>
          <w:szCs w:val="22"/>
        </w:rPr>
        <w:t xml:space="preserve">Phase 3 — Scale (Q2–Q4 2027)</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Phase 3 focuses on expanding the platform's capabilities, geographic reach, and enterprise readiness. This phase is critical for building the traction and credibility required for a Series A raise.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PayPal integration as secondary payment processor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International expansion to United Kingdom, European Union, and Canada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Enterprise API licensing program launch with custom pricing and SLAs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SOC 2 Type II certification achieved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White-label offering for Enterprise partners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Advanced analytics with AI-powered insights (spending patterns, revenue forecasting)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Apple Pay and Google Pay via Stripe Payment Request Button</w:t>
      </w:r>
    </w:p>
    <w:p>
      <w:pPr>
        <w:spacing w:after="120" w:before="60" w:line="360" w:lineRule="auto"/>
      </w:pPr>
      <w:r>
        <w:rPr>
          <w:rFonts w:ascii="Calibri" w:cs="Calibri" w:eastAsia="Calibri" w:hAnsi="Calibri"/>
          <w:b/>
          <w:bCs/>
          <w:i w:val="false"/>
          <w:iCs w:val="false"/>
          <w:strike w:val="false"/>
          <w:color w:val="000000"/>
          <w:sz w:val="22"/>
          <w:szCs w:val="22"/>
        </w:rPr>
        <w:t xml:space="preserve">Phase 4 — Dominance (2028+)</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Phase 4 represents Beamo's evolution from a payment orchestration platform into a comprehensive financial ecosystem. This phase is contingent on Series A funding and sustained growth metrics.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Embedded finance features: Beamo Card (co-branded debit card via banking partner), Beamo Wallet (stored value for instant internal transfers)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Marketplace ecosystem enabling third-party developers to build and sell extensions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Acquisition readiness or Series A raise (targeting $5M–$15M based on metrics)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Machine learning-powered fraud detection, dynamic pricing optimization, and personalized user experiences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Expansion to additional international markets based on demand signals</w:t>
      </w:r>
    </w:p>
    <w:p>
      <w:pPr>
        <w:pStyle w:val="Heading2"/>
        <w:spacing w:after="120" w:before="360" w:line="312" w:lineRule="auto"/>
      </w:pPr>
      <w:r>
        <w:rPr>
          <w:rFonts w:ascii="Calibri" w:cs="Calibri" w:eastAsia="Calibri" w:hAnsi="Calibri"/>
          <w:color w:val="1A1A1A"/>
          <w:sz w:val="36"/>
          <w:szCs w:val="36"/>
        </w:rPr>
        <w:t xml:space="preserve">13.2 Key Performance Indicators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4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KPI</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Month 3</w:t>
            </w:r>
          </w:p>
        </w:tc>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Month 6</w:t>
            </w:r>
          </w:p>
        </w:tc>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Month 12</w:t>
            </w:r>
          </w:p>
        </w:tc>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Month 24</w:t>
            </w:r>
          </w:p>
        </w:tc>
      </w:tr>
      <w:tr>
        <w:trPr>
          <w:tblHeader w:val="false"/>
        </w:trPr>
        <w:tc>
          <w:tcPr>
            <w:tcW w:type="pct" w:w="4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Registered Users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1,000</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10,000</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50,000</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250,000</w:t>
            </w:r>
          </w:p>
        </w:tc>
      </w:tr>
      <w:tr>
        <w:trPr>
          <w:tblHeader w:val="false"/>
        </w:trPr>
        <w:tc>
          <w:tcPr>
            <w:tcW w:type="pct" w:w="4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Monthly Active Users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300</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3,000</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20,000</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125,000</w:t>
            </w:r>
          </w:p>
        </w:tc>
      </w:tr>
      <w:tr>
        <w:trPr>
          <w:tblHeader w:val="false"/>
        </w:trPr>
        <w:tc>
          <w:tcPr>
            <w:tcW w:type="pct" w:w="4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Monthly Transaction Volume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$50K</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$500K</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$5M</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$50M</w:t>
            </w:r>
          </w:p>
        </w:tc>
      </w:tr>
      <w:tr>
        <w:trPr>
          <w:tblHeader w:val="false"/>
        </w:trPr>
        <w:tc>
          <w:tcPr>
            <w:tcW w:type="pct" w:w="4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Monthly Recurring Revenue (MRR)</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$1K</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$15K</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$100K</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$750K</w:t>
            </w:r>
          </w:p>
        </w:tc>
      </w:tr>
      <w:tr>
        <w:trPr>
          <w:tblHeader w:val="false"/>
        </w:trPr>
        <w:tc>
          <w:tcPr>
            <w:tcW w:type="pct" w:w="4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Viral Coefficient (K-Factor)</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0.5</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0.8</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w:t>
            </w:r>
          </w:p>
        </w:tc>
      </w:tr>
      <w:tr>
        <w:trPr>
          <w:tblHeader w:val="false"/>
        </w:trPr>
        <w:tc>
          <w:tcPr>
            <w:tcW w:type="pct" w:w="4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Partner Integrations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50</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200</w:t>
            </w:r>
          </w:p>
        </w:tc>
      </w:tr>
      <w:tr>
        <w:trPr>
          <w:tblHeader w:val="false"/>
        </w:trPr>
        <w:tc>
          <w:tcPr>
            <w:tcW w:type="pct" w:w="4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Monthly Churn Rate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r>
      <w:tr>
        <w:trPr>
          <w:tblHeader w:val="false"/>
        </w:trPr>
        <w:tc>
          <w:tcPr>
            <w:tcW w:type="pct" w:w="4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Net Promoter Score (NPS)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30</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40</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50</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60</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13.3 Series A Readiness Criteria</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Beamo will be positioned for a Series A fundraise when the following milestones are simultaneously achieved. These criteria represent the minimum thresholds that institutional investors in fintech SaaS companies typically require for a Series A commitment.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Criterion</w:t>
            </w:r>
          </w:p>
        </w:tc>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Target</w:t>
            </w:r>
          </w:p>
        </w:tc>
        <w:tc>
          <w:tcPr>
            <w:tcW w:type="pct" w:w="6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Rationale</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Monthly Recurring Revenue</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$100K+ MRR</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Demonstrates repeatable, scalable revenue. $100K MRR implies ~$1.2M ARR, a common Series A threshold for fintech.</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Viral Coefficient</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K-factor &gt; 1.0</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Proves self-sustaining organic growth, reducing dependence on paid acquisition and demonstrating product-market fit.</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Registered Users</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50,000+</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Validates market demand and demonstrates the platform's ability to attract and retain a meaningful user base.</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Enterprise Partners</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 active partners</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Validates the B2B2C distribution model and demonstrates that third-party platforms see value in Beamo's infrastructure.</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Path to Profitability</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Within 18 months of Series A</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Investors require a credible financial model showing unit economics that improve with scale and a timeline to break-even.</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Churn Rate</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&lt; 5% monthly</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 churn indicates strong product-market fit and user satisfaction, critical for compounding growth.</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Net Promoter Score</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&gt; 50</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World-class NPS demonstrates that users actively recommend the product, corroborating the viral coefficient metric.</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14. Internal Tooling Architecture (.NET MAUI Strategy)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Beamo employs a deliberate dual-stack architecture: the consumer-facing product is built with Next.js and React Native to maximize viral reach and developer ecosystem access, while all internal operator tools are built with .NET MAUI Blazor Hybrid using Visual Studio 2026. This separation ensures that the founder's deep C# expertise is leveraged where it delivers maximum velocity without fragmenting the consumer engineering team.</w:t>
      </w:r>
    </w:p>
    <w:p>
      <w:pPr>
        <w:pStyle w:val="Heading2"/>
        <w:spacing w:after="120" w:before="360" w:line="312" w:lineRule="auto"/>
      </w:pPr>
      <w:r>
        <w:rPr>
          <w:rFonts w:ascii="Calibri" w:cs="Calibri" w:eastAsia="Calibri" w:hAnsi="Calibri"/>
          <w:color w:val="1A1A1A"/>
          <w:sz w:val="36"/>
          <w:szCs w:val="36"/>
        </w:rPr>
        <w:t xml:space="preserve">14.1 Strategic Rationale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decision to adopt .NET MAUI Blazor Hybrid for internal tooling is driven by five strategic factors: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Founder Velocity</w:t>
      </w:r>
      <w:r>
        <w:rPr>
          <w:rFonts w:ascii="Calibri" w:cs="Calibri" w:eastAsia="Calibri" w:hAnsi="Calibri"/>
          <w:b w:val="false"/>
          <w:bCs w:val="false"/>
          <w:i w:val="false"/>
          <w:iCs w:val="false"/>
          <w:strike w:val="false"/>
          <w:color w:val="000000"/>
          <w:sz w:val="22"/>
          <w:szCs w:val="22"/>
        </w:rPr>
        <w:t xml:space="preserve"> — The founder's primary technical expertise is in C#/.NET. Building internal tools in MAUI Blazor Hybrid eliminates learning curves and enables solo development at maximum speed.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Team Separation</w:t>
      </w:r>
      <w:r>
        <w:rPr>
          <w:rFonts w:ascii="Calibri" w:cs="Calibri" w:eastAsia="Calibri" w:hAnsi="Calibri"/>
          <w:b w:val="false"/>
          <w:bCs w:val="false"/>
          <w:i w:val="false"/>
          <w:iCs w:val="false"/>
          <w:strike w:val="false"/>
          <w:color w:val="000000"/>
          <w:sz w:val="22"/>
          <w:szCs w:val="22"/>
        </w:rPr>
        <w:t xml:space="preserve"> — The Bangladesh-based engineering team operates exclusively on the consumer stack (Next.js + React Native). Internal tools built in .NET MAUI create zero cross-team dependencies, eliminating coordination overhead.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Razor Component Reuse</w:t>
      </w:r>
      <w:r>
        <w:rPr>
          <w:rFonts w:ascii="Calibri" w:cs="Calibri" w:eastAsia="Calibri" w:hAnsi="Calibri"/>
          <w:b w:val="false"/>
          <w:bCs w:val="false"/>
          <w:i w:val="false"/>
          <w:iCs w:val="false"/>
          <w:strike w:val="false"/>
          <w:color w:val="000000"/>
          <w:sz w:val="22"/>
          <w:szCs w:val="22"/>
        </w:rPr>
        <w:t xml:space="preserve"> — MAUI Blazor Hybrid runs Razor components natively. Any UI component built for internal tools (pricing editors, chart widgets, data grids) can be promoted to a Blazor web version if browser-based access is later needed for ops team members.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Native Desktop Performance</w:t>
      </w:r>
      <w:r>
        <w:rPr>
          <w:rFonts w:ascii="Calibri" w:cs="Calibri" w:eastAsia="Calibri" w:hAnsi="Calibri"/>
          <w:b w:val="false"/>
          <w:bCs w:val="false"/>
          <w:i w:val="false"/>
          <w:iCs w:val="false"/>
          <w:strike w:val="false"/>
          <w:color w:val="000000"/>
          <w:sz w:val="22"/>
          <w:szCs w:val="22"/>
        </w:rPr>
        <w:t xml:space="preserve"> — Internal tools benefit from native rendering, local storage, and OS-level integration (notifications, file system access, clipboard) that web apps cannot match.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Investor Optics</w:t>
      </w:r>
      <w:r>
        <w:rPr>
          <w:rFonts w:ascii="Calibri" w:cs="Calibri" w:eastAsia="Calibri" w:hAnsi="Calibri"/>
          <w:b w:val="false"/>
          <w:bCs w:val="false"/>
          <w:i w:val="false"/>
          <w:iCs w:val="false"/>
          <w:strike w:val="false"/>
          <w:color w:val="000000"/>
          <w:sz w:val="22"/>
          <w:szCs w:val="22"/>
        </w:rPr>
        <w:t xml:space="preserve"> — "We use React Native for consumer reach and .NET MAUI for enterprise-grade operator tooling" communicates architectural maturity and intentional technology selection to institutional investors.</w:t>
      </w:r>
    </w:p>
    <w:p>
      <w:pPr>
        <w:pStyle w:val="Heading2"/>
        <w:spacing w:after="120" w:before="360" w:line="312" w:lineRule="auto"/>
      </w:pPr>
      <w:r>
        <w:rPr>
          <w:rFonts w:ascii="Calibri" w:cs="Calibri" w:eastAsia="Calibri" w:hAnsi="Calibri"/>
          <w:color w:val="1A1A1A"/>
          <w:sz w:val="36"/>
          <w:szCs w:val="36"/>
        </w:rPr>
        <w:t xml:space="preserve">14.2 Architecture Overview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Both stacks connect to the same Supabase backend, ensuring a single source of truth with zero data duplication.</w:t>
      </w:r>
    </w:p>
    <w:p>
      <w:pPr>
        <w:pStyle w:val="Heading3"/>
        <w:spacing w:after="120" w:before="240" w:line="312" w:lineRule="auto"/>
      </w:pPr>
      <w:r>
        <w:rPr>
          <w:rFonts w:ascii="Calibri" w:cs="Calibri" w:eastAsia="Calibri" w:hAnsi="Calibri"/>
          <w:color w:val="1A1A1A"/>
          <w:sz w:val="28"/>
          <w:szCs w:val="28"/>
        </w:rPr>
        <w:t xml:space="preserve">Consumer Stack (Next.js + React Native)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Purpose</w:t>
            </w:r>
          </w:p>
        </w:tc>
        <w:tc>
          <w:tcPr>
            <w:tcW w:type="pct" w:w="7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User-facing web and mobile applications</w:t>
            </w:r>
          </w:p>
        </w:tc>
      </w:tr>
      <w:tr>
        <w:trPr>
          <w:tblHeader w:val="false"/>
        </w:trPr>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Framework</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Next.js (web), React Native (iOS/Android)</w:t>
            </w:r>
          </w:p>
        </w:tc>
      </w:tr>
      <w:tr>
        <w:trPr>
          <w:tblHeader w:val="false"/>
        </w:trPr>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Language</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TypeScript/JavaScript</w:t>
            </w:r>
          </w:p>
        </w:tc>
      </w:tr>
      <w:tr>
        <w:trPr>
          <w:tblHeader w:val="false"/>
        </w:trPr>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Target Users</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End users, freelancers, businesses</w:t>
            </w:r>
          </w:p>
        </w:tc>
      </w:tr>
      <w:tr>
        <w:trPr>
          <w:tblHeader w:val="false"/>
        </w:trPr>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Distribution</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App stores, web browser</w:t>
            </w:r>
          </w:p>
        </w:tc>
      </w:tr>
      <w:tr>
        <w:trPr>
          <w:tblHeader w:val="false"/>
        </w:trPr>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Team</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Bangladesh engineering team</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Operator Stack (.NET MAUI Blazor Hybrid)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Purpose</w:t>
            </w:r>
          </w:p>
        </w:tc>
        <w:tc>
          <w:tcPr>
            <w:tcW w:type="pct" w:w="7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Internal operations and partner tools</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Framework</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.NET MAUI Blazor Hybrid (Visual Studio 2026)</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Language</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 / Razor</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Target Users</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Founder, ops team, B2B partners</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Distribution</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MSIX (Windows), .dmg (macOS), direct download</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Team</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Founder (solo development)</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Shared Backend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Database</w:t>
            </w:r>
          </w:p>
        </w:tc>
        <w:tc>
          <w:tcPr>
            <w:tcW w:type="pct" w:w="7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Supabase PostgreSQL (same instance)</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Authentication</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Supabase Auth (JWT tokens)</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API Layer</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Supabase REST + Edge Functions</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Real-time</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Supabase Realtime + SignalR (for MAUI tools)</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File Storage</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Supabase Storage</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14.3 Tool 1: Admin Pricing Console (APC)</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Admin Pricing Console is Beamo's internal command center for managing all monetization levers. It provides real-time control over transaction fees, subscription tiers, promotional campaigns, and A/B price testing.</w:t>
      </w:r>
    </w:p>
    <w:p>
      <w:pPr>
        <w:pStyle w:val="Heading3"/>
        <w:spacing w:after="120" w:before="240" w:line="312" w:lineRule="auto"/>
      </w:pPr>
      <w:r>
        <w:rPr>
          <w:rFonts w:ascii="Calibri" w:cs="Calibri" w:eastAsia="Calibri" w:hAnsi="Calibri"/>
          <w:color w:val="1A1A1A"/>
          <w:sz w:val="28"/>
          <w:szCs w:val="28"/>
        </w:rPr>
        <w:t xml:space="preserve">Core Features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Global Fee Manager</w:t>
      </w:r>
      <w:r>
        <w:rPr>
          <w:rFonts w:ascii="Calibri" w:cs="Calibri" w:eastAsia="Calibri" w:hAnsi="Calibri"/>
          <w:b w:val="false"/>
          <w:bCs w:val="false"/>
          <w:i w:val="false"/>
          <w:iCs w:val="false"/>
          <w:strike w:val="false"/>
          <w:color w:val="000000"/>
          <w:sz w:val="22"/>
          <w:szCs w:val="22"/>
        </w:rPr>
        <w:t xml:space="preserve"> — Set and adjust platform transaction fee percentages, minimum/maximum fee caps, and currency-specific fee rules. All changes are logged with before/after values, timestamp, and operator identity.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Subscription Tier Editor</w:t>
      </w:r>
      <w:r>
        <w:rPr>
          <w:rFonts w:ascii="Calibri" w:cs="Calibri" w:eastAsia="Calibri" w:hAnsi="Calibri"/>
          <w:b w:val="false"/>
          <w:bCs w:val="false"/>
          <w:i w:val="false"/>
          <w:iCs w:val="false"/>
          <w:strike w:val="false"/>
          <w:color w:val="000000"/>
          <w:sz w:val="22"/>
          <w:szCs w:val="22"/>
        </w:rPr>
        <w:t xml:space="preserve"> — Modify Free, Pro, and Business tier pricing, feature gates, and trial durations. Preview changes before publishing with a diff view showing exactly what will change for existing subscribers.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Promo Engine</w:t>
      </w:r>
      <w:r>
        <w:rPr>
          <w:rFonts w:ascii="Calibri" w:cs="Calibri" w:eastAsia="Calibri" w:hAnsi="Calibri"/>
          <w:b w:val="false"/>
          <w:bCs w:val="false"/>
          <w:i w:val="false"/>
          <w:iCs w:val="false"/>
          <w:strike w:val="false"/>
          <w:color w:val="000000"/>
          <w:sz w:val="22"/>
          <w:szCs w:val="22"/>
        </w:rPr>
        <w:t xml:space="preserve"> — Create time-bound promotional campaigns with configurable discount types (percentage, fixed amount, free trial extension), usage limits, eligible user segments, and auto-expiration rules.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A/B Price Testing</w:t>
      </w:r>
      <w:r>
        <w:rPr>
          <w:rFonts w:ascii="Calibri" w:cs="Calibri" w:eastAsia="Calibri" w:hAnsi="Calibri"/>
          <w:b w:val="false"/>
          <w:bCs w:val="false"/>
          <w:i w:val="false"/>
          <w:iCs w:val="false"/>
          <w:strike w:val="false"/>
          <w:color w:val="000000"/>
          <w:sz w:val="22"/>
          <w:szCs w:val="22"/>
        </w:rPr>
        <w:t xml:space="preserve"> — Configure price experiments with control and variant groups, statistical significance thresholds, and automatic winner selection. Dashboard shows real-time conversion rate, revenue impact, and confidence intervals.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Audit Log Viewer</w:t>
      </w:r>
      <w:r>
        <w:rPr>
          <w:rFonts w:ascii="Calibri" w:cs="Calibri" w:eastAsia="Calibri" w:hAnsi="Calibri"/>
          <w:b w:val="false"/>
          <w:bCs w:val="false"/>
          <w:i w:val="false"/>
          <w:iCs w:val="false"/>
          <w:strike w:val="false"/>
          <w:color w:val="000000"/>
          <w:sz w:val="22"/>
          <w:szCs w:val="22"/>
        </w:rPr>
        <w:t xml:space="preserve"> — Searchable, filterable log of every pricing change with full attribution. Supports export to CSV/JSON for compliance reporting. Retention: 7 years per financial regulation requirements.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Role-Based Access Control (RBAC)</w:t>
      </w:r>
      <w:r>
        <w:rPr>
          <w:rFonts w:ascii="Calibri" w:cs="Calibri" w:eastAsia="Calibri" w:hAnsi="Calibri"/>
          <w:b w:val="false"/>
          <w:bCs w:val="false"/>
          <w:i w:val="false"/>
          <w:iCs w:val="false"/>
          <w:strike w:val="false"/>
          <w:color w:val="000000"/>
          <w:sz w:val="22"/>
          <w:szCs w:val="22"/>
        </w:rPr>
        <w:t xml:space="preserve"> — Four permission levels: Viewer (read-only), Operator (create promos), Manager (modify pricing), Admin (full access including RBAC management). Integrated with .NET Identity patterns.</w:t>
      </w:r>
    </w:p>
    <w:p>
      <w:pPr>
        <w:pStyle w:val="Heading3"/>
        <w:spacing w:after="120" w:before="240" w:line="312" w:lineRule="auto"/>
      </w:pPr>
      <w:r>
        <w:rPr>
          <w:rFonts w:ascii="Calibri" w:cs="Calibri" w:eastAsia="Calibri" w:hAnsi="Calibri"/>
          <w:color w:val="1A1A1A"/>
          <w:sz w:val="28"/>
          <w:szCs w:val="28"/>
        </w:rPr>
        <w:t xml:space="preserve">Technical Specifications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Framework</w:t>
            </w:r>
          </w:p>
        </w:tc>
        <w:tc>
          <w:tcPr>
            <w:tcW w:type="pct" w:w="7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.NET MAUI Blazor Hybrid</w:t>
            </w:r>
          </w:p>
        </w:tc>
      </w:tr>
      <w:tr>
        <w:trPr>
          <w:tblHeader w:val="false"/>
        </w:trPr>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Data Grid</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Syncfusion DataGrid for MAUI (sorting, filtering, grouping, Excel export)</w:t>
            </w:r>
          </w:p>
        </w:tc>
      </w:tr>
      <w:tr>
        <w:trPr>
          <w:tblHeader w:val="false"/>
        </w:trPr>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Charts</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Syncfusion Charts for MAUI (real-time revenue visualization)</w:t>
            </w:r>
          </w:p>
        </w:tc>
      </w:tr>
      <w:tr>
        <w:trPr>
          <w:tblHeader w:val="false"/>
        </w:trPr>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Local Cache</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SQLite for offline access to recent pricing configurations</w:t>
            </w:r>
          </w:p>
        </w:tc>
      </w:tr>
      <w:tr>
        <w:trPr>
          <w:tblHeader w:val="false"/>
        </w:trPr>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Distribution</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MSIX package (Windows), .dmg (macOS)</w:t>
            </w:r>
          </w:p>
        </w:tc>
      </w:tr>
      <w:tr>
        <w:trPr>
          <w:tblHeader w:val="false"/>
        </w:trPr>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Minimum Binary Size Target</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Less than 25 MB</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14.4 Tool 2: Operations Dashboard (OpsDash)</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Operations Dashboard is Beamo's real-time mission control for monitoring platform health, detecting fraud, tracking partner revenue, and ensuring compliance with failure-proofing rules.</w:t>
      </w:r>
    </w:p>
    <w:p>
      <w:pPr>
        <w:pStyle w:val="Heading3"/>
        <w:spacing w:after="120" w:before="240" w:line="312" w:lineRule="auto"/>
      </w:pPr>
      <w:r>
        <w:rPr>
          <w:rFonts w:ascii="Calibri" w:cs="Calibri" w:eastAsia="Calibri" w:hAnsi="Calibri"/>
          <w:color w:val="1A1A1A"/>
          <w:sz w:val="28"/>
          <w:szCs w:val="28"/>
        </w:rPr>
        <w:t xml:space="preserve">Core Features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Live Transaction Feed</w:t>
      </w:r>
      <w:r>
        <w:rPr>
          <w:rFonts w:ascii="Calibri" w:cs="Calibri" w:eastAsia="Calibri" w:hAnsi="Calibri"/>
          <w:b w:val="false"/>
          <w:bCs w:val="false"/>
          <w:i w:val="false"/>
          <w:iCs w:val="false"/>
          <w:strike w:val="false"/>
          <w:color w:val="000000"/>
          <w:sz w:val="22"/>
          <w:szCs w:val="22"/>
        </w:rPr>
        <w:t xml:space="preserve"> — Real-time streaming display of all platform transactions using SignalR connected to Supabase webhooks. Color-coded by status (completed, pending, failed, flagged). Filterable by amount, user, partner, geography, and time range.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Fraud Detection Alerts</w:t>
      </w:r>
      <w:r>
        <w:rPr>
          <w:rFonts w:ascii="Calibri" w:cs="Calibri" w:eastAsia="Calibri" w:hAnsi="Calibri"/>
          <w:b w:val="false"/>
          <w:bCs w:val="false"/>
          <w:i w:val="false"/>
          <w:iCs w:val="false"/>
          <w:strike w:val="false"/>
          <w:color w:val="000000"/>
          <w:sz w:val="22"/>
          <w:szCs w:val="22"/>
        </w:rPr>
        <w:t xml:space="preserve"> — Automated alerts triggered by anomaly detection rules: unusual transaction velocity, geographic impossibilities, amount threshold breaches, and duplicate payment patterns. Each alert includes a severity score, affected user details, and one-click investigation drill-down.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Partner Revenue Tracker</w:t>
      </w:r>
      <w:r>
        <w:rPr>
          <w:rFonts w:ascii="Calibri" w:cs="Calibri" w:eastAsia="Calibri" w:hAnsi="Calibri"/>
          <w:b w:val="false"/>
          <w:bCs w:val="false"/>
          <w:i w:val="false"/>
          <w:iCs w:val="false"/>
          <w:strike w:val="false"/>
          <w:color w:val="000000"/>
          <w:sz w:val="22"/>
          <w:szCs w:val="22"/>
        </w:rPr>
        <w:t xml:space="preserve"> — Per-partner dashboard showing transaction volume, revenue share calculations, tier qualification progress, and payout schedules. Supports comparison views across partners and time periods.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Failure-Proofing Rule Monitor</w:t>
      </w:r>
      <w:r>
        <w:rPr>
          <w:rFonts w:ascii="Calibri" w:cs="Calibri" w:eastAsia="Calibri" w:hAnsi="Calibri"/>
          <w:b w:val="false"/>
          <w:bCs w:val="false"/>
          <w:i w:val="false"/>
          <w:iCs w:val="false"/>
          <w:strike w:val="false"/>
          <w:color w:val="000000"/>
          <w:sz w:val="22"/>
          <w:szCs w:val="22"/>
        </w:rPr>
        <w:t xml:space="preserve"> — Real-time compliance dashboard tracking all 17 failure-proofing rules from PRD Section 10. Each rule displays current status (compliant/warning/violation), last checked timestamp, and historical compliance trend. Violations trigger immediate desktop notifications.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System Health Panel</w:t>
      </w:r>
      <w:r>
        <w:rPr>
          <w:rFonts w:ascii="Calibri" w:cs="Calibri" w:eastAsia="Calibri" w:hAnsi="Calibri"/>
          <w:b w:val="false"/>
          <w:bCs w:val="false"/>
          <w:i w:val="false"/>
          <w:iCs w:val="false"/>
          <w:strike w:val="false"/>
          <w:color w:val="000000"/>
          <w:sz w:val="22"/>
          <w:szCs w:val="22"/>
        </w:rPr>
        <w:t xml:space="preserve"> — Infrastructure monitoring showing API response times, database connection pool status, Edge Function execution metrics, error rates, and uptime percentage. Integrates with Supabase dashboard metrics via API.</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User Analytics</w:t>
      </w:r>
      <w:r>
        <w:rPr>
          <w:rFonts w:ascii="Calibri" w:cs="Calibri" w:eastAsia="Calibri" w:hAnsi="Calibri"/>
          <w:b w:val="false"/>
          <w:bCs w:val="false"/>
          <w:i w:val="false"/>
          <w:iCs w:val="false"/>
          <w:strike w:val="false"/>
          <w:color w:val="000000"/>
          <w:sz w:val="22"/>
          <w:szCs w:val="22"/>
        </w:rPr>
        <w:t xml:space="preserve"> — Key user metrics including Daily/Monthly Active Users, signup funnel conversion, feature adoption heatmap, cohort retention curves, and geographic distribution map.</w:t>
      </w:r>
    </w:p>
    <w:p>
      <w:pPr>
        <w:pStyle w:val="Heading3"/>
        <w:spacing w:after="120" w:before="240" w:line="312" w:lineRule="auto"/>
      </w:pPr>
      <w:r>
        <w:rPr>
          <w:rFonts w:ascii="Calibri" w:cs="Calibri" w:eastAsia="Calibri" w:hAnsi="Calibri"/>
          <w:color w:val="1A1A1A"/>
          <w:sz w:val="28"/>
          <w:szCs w:val="28"/>
        </w:rPr>
        <w:t xml:space="preserve">Technical Specifications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Framework</w:t>
            </w:r>
          </w:p>
        </w:tc>
        <w:tc>
          <w:tcPr>
            <w:tcW w:type="pct" w:w="7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.NET MAUI Blazor Hybrid</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Real-time Engine</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SignalR hub connected to Supabase Realtime subscriptions</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Charts</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Syncfusion Charts for MAUI (live-updating time series, heatmaps, geo maps)</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Notifications</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Native OS notification integration (Windows Toast, macOS Notification Center)</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Data Refresh</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Sub-500ms latency for live transaction feed</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Local Storage</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SQLite cache for offline metric review (last 24 hours)</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Distribution</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MSIX package (Windows), .dmg (macOS)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14.5 Tool 3: Partner SDK Companion App (PartnerKit)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PartnerKit is a lightweight native desktop utility distributed to B2B partners for testing, debugging, and managing their Beamo SDK integrations.</w:t>
      </w:r>
    </w:p>
    <w:p>
      <w:pPr>
        <w:pStyle w:val="Heading3"/>
        <w:spacing w:after="120" w:before="240" w:line="312" w:lineRule="auto"/>
      </w:pPr>
      <w:r>
        <w:rPr>
          <w:rFonts w:ascii="Calibri" w:cs="Calibri" w:eastAsia="Calibri" w:hAnsi="Calibri"/>
          <w:color w:val="1A1A1A"/>
          <w:sz w:val="28"/>
          <w:szCs w:val="28"/>
        </w:rPr>
        <w:t xml:space="preserve">Core Features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API Key Management</w:t>
      </w:r>
      <w:r>
        <w:rPr>
          <w:rFonts w:ascii="Calibri" w:cs="Calibri" w:eastAsia="Calibri" w:hAnsi="Calibri"/>
          <w:b w:val="false"/>
          <w:bCs w:val="false"/>
          <w:i w:val="false"/>
          <w:iCs w:val="false"/>
          <w:strike w:val="false"/>
          <w:color w:val="000000"/>
          <w:sz w:val="22"/>
          <w:szCs w:val="22"/>
        </w:rPr>
        <w:t xml:space="preserve"> — Secure generation, rotation, and revocation of partner API keys. Displays key usage statistics, rate limit status, and expiration warnings. Supports both sandbox and production key environments.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SDK Integration Tester</w:t>
      </w:r>
      <w:r>
        <w:rPr>
          <w:rFonts w:ascii="Calibri" w:cs="Calibri" w:eastAsia="Calibri" w:hAnsi="Calibri"/>
          <w:b w:val="false"/>
          <w:bCs w:val="false"/>
          <w:i w:val="false"/>
          <w:iCs w:val="false"/>
          <w:strike w:val="false"/>
          <w:color w:val="000000"/>
          <w:sz w:val="22"/>
          <w:szCs w:val="22"/>
        </w:rPr>
        <w:t xml:space="preserve"> — Interactive testing console where partners can execute API calls against their sandbox environment, view formatted request/response payloads, and validate their integration against Beamo's API contract. Includes pre-built test scenarios for common integration patterns.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Webhook Debugger</w:t>
      </w:r>
      <w:r>
        <w:rPr>
          <w:rFonts w:ascii="Calibri" w:cs="Calibri" w:eastAsia="Calibri" w:hAnsi="Calibri"/>
          <w:b w:val="false"/>
          <w:bCs w:val="false"/>
          <w:i w:val="false"/>
          <w:iCs w:val="false"/>
          <w:strike w:val="false"/>
          <w:color w:val="000000"/>
          <w:sz w:val="22"/>
          <w:szCs w:val="22"/>
        </w:rPr>
        <w:t xml:space="preserve"> — Real-time webhook event viewer showing all events dispatched to the partner's configured endpoints. Displays delivery status, response codes, retry attempts, and payload inspection. Includes a webhook replay function for failed deliveries.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Integration Health Score</w:t>
      </w:r>
      <w:r>
        <w:rPr>
          <w:rFonts w:ascii="Calibri" w:cs="Calibri" w:eastAsia="Calibri" w:hAnsi="Calibri"/>
          <w:b w:val="false"/>
          <w:bCs w:val="false"/>
          <w:i w:val="false"/>
          <w:iCs w:val="false"/>
          <w:strike w:val="false"/>
          <w:color w:val="000000"/>
          <w:sz w:val="22"/>
          <w:szCs w:val="22"/>
        </w:rPr>
        <w:t xml:space="preserve"> — Automated scoring of the partner's integration quality based on error rates, response times, webhook success rates, and API version currency. Provides actionable recommendations for improvement.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Documentation Viewer</w:t>
      </w:r>
      <w:r>
        <w:rPr>
          <w:rFonts w:ascii="Calibri" w:cs="Calibri" w:eastAsia="Calibri" w:hAnsi="Calibri"/>
          <w:b w:val="false"/>
          <w:bCs w:val="false"/>
          <w:i w:val="false"/>
          <w:iCs w:val="false"/>
          <w:strike w:val="false"/>
          <w:color w:val="000000"/>
          <w:sz w:val="22"/>
          <w:szCs w:val="22"/>
        </w:rPr>
        <w:t xml:space="preserve"> — Embedded, searchable API documentation with code samples in multiple languages. Syncs with the latest published API docs on each app launch.</w:t>
      </w:r>
    </w:p>
    <w:p>
      <w:pPr>
        <w:pStyle w:val="Heading3"/>
        <w:spacing w:after="120" w:before="240" w:line="312" w:lineRule="auto"/>
      </w:pPr>
      <w:r>
        <w:rPr>
          <w:rFonts w:ascii="Calibri" w:cs="Calibri" w:eastAsia="Calibri" w:hAnsi="Calibri"/>
          <w:color w:val="1A1A1A"/>
          <w:sz w:val="28"/>
          <w:szCs w:val="28"/>
        </w:rPr>
        <w:t xml:space="preserve">Technical Specifications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Framework</w:t>
            </w:r>
          </w:p>
        </w:tc>
        <w:tc>
          <w:tcPr>
            <w:tcW w:type="pct" w:w="7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.NET MAUI Blazor Hybrid</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Target Binary Size</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 MB or less</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Authentication</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Partner API key + OAuth 2.0 PKCE flow</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Supported Platforms</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Windows 10+ (MSIX), macOS 12+ (.dmg)</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Offline Capability</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Cached documentation and last-known integration health score</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Auto-Update</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Built-in update mechanism via GitHub Releases</w:t>
            </w:r>
          </w:p>
        </w:tc>
      </w:tr>
      <w:tr>
        <w:trPr>
          <w:tblHeader w:val="false"/>
        </w:trPr>
        <w:tc>
          <w:tcPr>
            <w:tcW w:type="pct" w:w="2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Distribution</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Direct download from Beamo partner portal</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14.6 Shared Razor Component Library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three MAUI tools share a common Razor component library distributed as a private NuGet package. This ensures visual consistency, reduces code duplication, and accelerates development of new internal tools.</w:t>
      </w:r>
    </w:p>
    <w:p>
      <w:pPr>
        <w:pStyle w:val="Heading3"/>
        <w:spacing w:after="120" w:before="240" w:line="312" w:lineRule="auto"/>
      </w:pPr>
      <w:r>
        <w:rPr>
          <w:rFonts w:ascii="Calibri" w:cs="Calibri" w:eastAsia="Calibri" w:hAnsi="Calibri"/>
          <w:color w:val="1A1A1A"/>
          <w:sz w:val="28"/>
          <w:szCs w:val="28"/>
        </w:rPr>
        <w:t xml:space="preserve">Shared Components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Component</w:t>
            </w:r>
          </w:p>
        </w:tc>
        <w:tc>
          <w:tcPr>
            <w:tcW w:type="pct" w:w="5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Purpose</w:t>
            </w:r>
          </w:p>
        </w:tc>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Used By</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AuthProvider</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Supabase JWT authentication wrapper with token refresh</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APC, OpsDash, PartnerKit</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SupabaseClient</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Typed C# client for Supabase REST API and Realtime subscriptions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APC, OpsDash, PartnerKit</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AuditLogViewer</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Searchable, filterable audit trail display with export capability</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APC, OpsDash</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MetricCard</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Standardized KPI display card with trend indicator and sparkline</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APC, OpsDash</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DataGridWrapper</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Pre-configured Syncfusion DataGrid with Beamo styling and common column types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APC, OpsDash, PartnerKit</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ChartWrapper</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Pre-configured Syncfusion Chart with Beamo color palette and responsive sizing</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APC, OpsDash</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JsonInspector</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Collapsible, syntax-highlighted JSON viewer for API payloads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OpsDash, PartnerKit</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NotificationBanner</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Toast notification component with severity levels and auto-dismiss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APC, OpsDash, PartnerKit</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ThemeProvider</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Beamo brand theming (colors, typography, spacing) applied globally</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APC, OpsDash, PartnerKit</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ErrorBoundary</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Graceful error handling with crash reporting to Supabase Edge Function</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APC, OpsDash, PartnerKit</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Package Details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Package Name</w:t>
            </w:r>
          </w:p>
        </w:tc>
        <w:tc>
          <w:tcPr>
            <w:tcW w:type="pct" w:w="7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Beamo.Internal.Components</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Package Manager</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Private NuGet feed (GitHub Packages)</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Versioning</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Semantic Versioning (SemVer)</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Documentation</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XML doc comments + Storybook-style component gallery app</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14.7 Development and Deployment Strategy</w:t>
      </w:r>
    </w:p>
    <w:p>
      <w:pPr>
        <w:pStyle w:val="Heading3"/>
        <w:spacing w:after="120" w:before="240" w:line="312" w:lineRule="auto"/>
      </w:pPr>
      <w:r>
        <w:rPr>
          <w:rFonts w:ascii="Calibri" w:cs="Calibri" w:eastAsia="Calibri" w:hAnsi="Calibri"/>
          <w:color w:val="1A1A1A"/>
          <w:sz w:val="28"/>
          <w:szCs w:val="28"/>
        </w:rPr>
        <w:t xml:space="preserve">Development Environment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IDE</w:t>
            </w:r>
          </w:p>
        </w:tc>
        <w:tc>
          <w:tcPr>
            <w:tcW w:type="pct" w:w="7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Visual Studio 2026 (Windows) with .NET MAUI workload</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Target Framework</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.NET 9 (or latest LTS at development time)</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Source Control</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GitHub (private repository, monorepo for all three tools + shared library)</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CI/CD</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GitHub Actions</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CI/CD Pipeline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On Pull Request:</w:t>
      </w:r>
      <w:r>
        <w:rPr>
          <w:rFonts w:ascii="Calibri" w:cs="Calibri" w:eastAsia="Calibri" w:hAnsi="Calibri"/>
          <w:b w:val="false"/>
          <w:bCs w:val="false"/>
          <w:i w:val="false"/>
          <w:iCs w:val="false"/>
          <w:strike w:val="false"/>
          <w:color w:val="000000"/>
          <w:sz w:val="22"/>
          <w:szCs w:val="22"/>
        </w:rPr>
        <w:t xml:space="preserve"> Build all three apps + shared library, run xUnit + bUnit tests, run code analysis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On Merge to Main:</w:t>
      </w:r>
      <w:r>
        <w:rPr>
          <w:rFonts w:ascii="Calibri" w:cs="Calibri" w:eastAsia="Calibri" w:hAnsi="Calibri"/>
          <w:b w:val="false"/>
          <w:bCs w:val="false"/>
          <w:i w:val="false"/>
          <w:iCs w:val="false"/>
          <w:strike w:val="false"/>
          <w:color w:val="000000"/>
          <w:sz w:val="22"/>
          <w:szCs w:val="22"/>
        </w:rPr>
        <w:t xml:space="preserve"> Build, test, create versioned artifacts, publish shared library to private NuGet feed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On Release Tag:</w:t>
      </w:r>
      <w:r>
        <w:rPr>
          <w:rFonts w:ascii="Calibri" w:cs="Calibri" w:eastAsia="Calibri" w:hAnsi="Calibri"/>
          <w:b w:val="false"/>
          <w:bCs w:val="false"/>
          <w:i w:val="false"/>
          <w:iCs w:val="false"/>
          <w:strike w:val="false"/>
          <w:color w:val="000000"/>
          <w:sz w:val="22"/>
          <w:szCs w:val="22"/>
        </w:rPr>
        <w:t xml:space="preserve"> Build production binaries, code-sign (Windows: certificate, macOS: notarization), create GitHub Release with MSIX/DMG assets, auto-generate changelog</w:t>
      </w:r>
    </w:p>
    <w:p>
      <w:pPr>
        <w:pStyle w:val="Heading3"/>
        <w:spacing w:after="120" w:before="240" w:line="312" w:lineRule="auto"/>
      </w:pPr>
      <w:r>
        <w:rPr>
          <w:rFonts w:ascii="Calibri" w:cs="Calibri" w:eastAsia="Calibri" w:hAnsi="Calibri"/>
          <w:color w:val="1A1A1A"/>
          <w:sz w:val="28"/>
          <w:szCs w:val="28"/>
        </w:rPr>
        <w:t xml:space="preserve">Testing Strategy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Unit Tests:</w:t>
      </w:r>
      <w:r>
        <w:rPr>
          <w:rFonts w:ascii="Calibri" w:cs="Calibri" w:eastAsia="Calibri" w:hAnsi="Calibri"/>
          <w:b w:val="false"/>
          <w:bCs w:val="false"/>
          <w:i w:val="false"/>
          <w:iCs w:val="false"/>
          <w:strike w:val="false"/>
          <w:color w:val="000000"/>
          <w:sz w:val="22"/>
          <w:szCs w:val="22"/>
        </w:rPr>
        <w:t xml:space="preserve"> xUnit for business logic, bUnit for Razor component rendering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Integration Tests:</w:t>
      </w:r>
      <w:r>
        <w:rPr>
          <w:rFonts w:ascii="Calibri" w:cs="Calibri" w:eastAsia="Calibri" w:hAnsi="Calibri"/>
          <w:b w:val="false"/>
          <w:bCs w:val="false"/>
          <w:i w:val="false"/>
          <w:iCs w:val="false"/>
          <w:strike w:val="false"/>
          <w:color w:val="000000"/>
          <w:sz w:val="22"/>
          <w:szCs w:val="22"/>
        </w:rPr>
        <w:t xml:space="preserve"> Supabase local emulator for API integration validation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UI Tests:</w:t>
      </w:r>
      <w:r>
        <w:rPr>
          <w:rFonts w:ascii="Calibri" w:cs="Calibri" w:eastAsia="Calibri" w:hAnsi="Calibri"/>
          <w:b w:val="false"/>
          <w:bCs w:val="false"/>
          <w:i w:val="false"/>
          <w:iCs w:val="false"/>
          <w:strike w:val="false"/>
          <w:color w:val="000000"/>
          <w:sz w:val="22"/>
          <w:szCs w:val="22"/>
        </w:rPr>
        <w:t xml:space="preserve"> MAUI Appium driver for critical user journey automation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Test Coverage Target:</w:t>
      </w:r>
      <w:r>
        <w:rPr>
          <w:rFonts w:ascii="Calibri" w:cs="Calibri" w:eastAsia="Calibri" w:hAnsi="Calibri"/>
          <w:b w:val="false"/>
          <w:bCs w:val="false"/>
          <w:i w:val="false"/>
          <w:iCs w:val="false"/>
          <w:strike w:val="false"/>
          <w:color w:val="000000"/>
          <w:sz w:val="22"/>
          <w:szCs w:val="22"/>
        </w:rPr>
        <w:t xml:space="preserve"> 80% minimum for shared component library, 60% minimum for individual tools</w:t>
      </w:r>
    </w:p>
    <w:p>
      <w:pPr>
        <w:pStyle w:val="Heading3"/>
        <w:spacing w:after="120" w:before="240" w:line="312" w:lineRule="auto"/>
      </w:pPr>
      <w:r>
        <w:rPr>
          <w:rFonts w:ascii="Calibri" w:cs="Calibri" w:eastAsia="Calibri" w:hAnsi="Calibri"/>
          <w:color w:val="1A1A1A"/>
          <w:sz w:val="28"/>
          <w:szCs w:val="28"/>
        </w:rPr>
        <w:t xml:space="preserve">Release Cadence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Tool</w:t>
            </w:r>
          </w:p>
        </w:tc>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Cadence</w:t>
            </w:r>
          </w:p>
        </w:tc>
        <w:tc>
          <w:tcPr>
            <w:tcW w:type="pct" w:w="5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Rationale</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Admin Pricing Console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Bi-weekly</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Pricing changes are time-sensitive</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Operations Dashboard</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Weekly</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Monitoring improvements are continuous</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Partner SDK Companion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Monthly</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Partner-facing stability is paramount</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Shared Component Library</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As needed</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Always backward-compatible within major version</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14.8 Resource Allocation and Build Timeline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internal tooling is developed exclusively by the founder. Zero Bangladesh engineering team involvement ensures no distraction from consumer product development.</w:t>
      </w:r>
    </w:p>
    <w:p>
      <w:pPr>
        <w:pStyle w:val="Heading3"/>
        <w:spacing w:after="120" w:before="240" w:line="312" w:lineRule="auto"/>
      </w:pPr>
      <w:r>
        <w:rPr>
          <w:rFonts w:ascii="Calibri" w:cs="Calibri" w:eastAsia="Calibri" w:hAnsi="Calibri"/>
          <w:color w:val="1A1A1A"/>
          <w:sz w:val="28"/>
          <w:szCs w:val="28"/>
        </w:rPr>
        <w:t xml:space="preserve">Build Sequence and Timeline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Phase</w:t>
            </w:r>
          </w:p>
        </w:tc>
        <w:tc>
          <w:tcPr>
            <w:tcW w:type="pct" w:w="3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Tool</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Duration</w:t>
            </w:r>
          </w:p>
        </w:tc>
        <w:tc>
          <w:tcPr>
            <w:tcW w:type="pct" w:w="3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Dependencies</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Phase 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Shared Razor Component Library</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weeks</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Supabase project configured</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Phase 1</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Admin Pricing Console (APC) MVP</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 weeks</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Shared library v1.0</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Phase 2</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Operations Dashboard (OpsDash) MVP</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weeks</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Shared library v1.0, SignalR hub deployed</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Phase 3</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Partner SDK Companion (PartnerKit) MVP</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weeks</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Shared library v1.0, Partner API finalized</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Total Estimated Timeline:</w:t>
      </w:r>
      <w:r>
        <w:rPr>
          <w:rFonts w:ascii="Calibri" w:cs="Calibri" w:eastAsia="Calibri" w:hAnsi="Calibri"/>
          <w:b w:val="false"/>
          <w:bCs w:val="false"/>
          <w:i w:val="false"/>
          <w:iCs w:val="false"/>
          <w:strike w:val="false"/>
          <w:color w:val="000000"/>
          <w:sz w:val="22"/>
          <w:szCs w:val="22"/>
        </w:rPr>
        <w:t xml:space="preserve"> 9 weeks (sequential), 6 weeks (with Phase 2 and 3 partially overlapped)</w:t>
      </w:r>
    </w:p>
    <w:p>
      <w:pPr>
        <w:pStyle w:val="Heading3"/>
        <w:spacing w:after="120" w:before="240" w:line="312" w:lineRule="auto"/>
      </w:pPr>
      <w:r>
        <w:rPr>
          <w:rFonts w:ascii="Calibri" w:cs="Calibri" w:eastAsia="Calibri" w:hAnsi="Calibri"/>
          <w:color w:val="1A1A1A"/>
          <w:sz w:val="28"/>
          <w:szCs w:val="28"/>
        </w:rPr>
        <w:t xml:space="preserve">MVP Scope Definition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APC MVP:</w:t>
      </w:r>
      <w:r>
        <w:rPr>
          <w:rFonts w:ascii="Calibri" w:cs="Calibri" w:eastAsia="Calibri" w:hAnsi="Calibri"/>
          <w:b w:val="false"/>
          <w:bCs w:val="false"/>
          <w:i w:val="false"/>
          <w:iCs w:val="false"/>
          <w:strike w:val="false"/>
          <w:color w:val="000000"/>
          <w:sz w:val="22"/>
          <w:szCs w:val="22"/>
        </w:rPr>
        <w:t xml:space="preserve"> Global fee manager + subscription tier editor + audit log (promo engine and A/B testing deferred to v2)</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OpsDash MVP:</w:t>
      </w:r>
      <w:r>
        <w:rPr>
          <w:rFonts w:ascii="Calibri" w:cs="Calibri" w:eastAsia="Calibri" w:hAnsi="Calibri"/>
          <w:b w:val="false"/>
          <w:bCs w:val="false"/>
          <w:i w:val="false"/>
          <w:iCs w:val="false"/>
          <w:strike w:val="false"/>
          <w:color w:val="000000"/>
          <w:sz w:val="22"/>
          <w:szCs w:val="22"/>
        </w:rPr>
        <w:t xml:space="preserve"> Live transaction feed + fraud alerts + system health panel (partner revenue tracker and failure-proofing monitor deferred to v2)</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PartnerKit MVP:</w:t>
      </w:r>
      <w:r>
        <w:rPr>
          <w:rFonts w:ascii="Calibri" w:cs="Calibri" w:eastAsia="Calibri" w:hAnsi="Calibri"/>
          <w:b w:val="false"/>
          <w:bCs w:val="false"/>
          <w:i w:val="false"/>
          <w:iCs w:val="false"/>
          <w:strike w:val="false"/>
          <w:color w:val="000000"/>
          <w:sz w:val="22"/>
          <w:szCs w:val="22"/>
        </w:rPr>
        <w:t xml:space="preserve"> API key management + SDK integration tester (webhook debugger and health score deferred to v2)</w:t>
      </w:r>
    </w:p>
    <w:p>
      <w:pPr>
        <w:pStyle w:val="Heading2"/>
        <w:spacing w:after="120" w:before="360" w:line="312" w:lineRule="auto"/>
      </w:pPr>
      <w:r>
        <w:rPr>
          <w:rFonts w:ascii="Calibri" w:cs="Calibri" w:eastAsia="Calibri" w:hAnsi="Calibri"/>
          <w:color w:val="1A1A1A"/>
          <w:sz w:val="36"/>
          <w:szCs w:val="36"/>
        </w:rPr>
        <w:t xml:space="preserve">14.9 Success Metrics for Internal Tooling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Internal tools are measured by operational efficiency gains, not revenue generation.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Metric</w:t>
            </w:r>
          </w:p>
        </w:tc>
        <w:tc>
          <w:tcPr>
            <w:tcW w:type="pct" w:w="3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Target</w:t>
            </w:r>
          </w:p>
        </w:tc>
        <w:tc>
          <w:tcPr>
            <w:tcW w:type="pct" w:w="3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Measurement Method</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Time to implement a pricing change</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Less than 2 minutes (vs. manual database update)</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APC audit log timestamp comparison</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Time to detect and respond to fraud alert</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Less than 5 minutes from trigger to investigation</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OpsDash alert timestamp to resolution timestamp</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Partner integration validation time</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Less than 30 minutes (vs. email-based debugging)</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PartnerKit session duration for first successful test</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Pricing change error rate</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 (enforced by validation rules)</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APC rollback frequency tracking</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Live transaction feed latency</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Less than 500ms from Supabase event to OpsDash display</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SignalR round-trip instrumentation</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Partner onboarding satisfaction</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Greater than 4.5 out of 5.0 rating</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Post-onboarding survey embedded in PartnerKit</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Internal tool uptime</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99.5% during business hours</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GitHub Actions health check monitor</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Shared component adoption</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 of UI elements use shared library</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Code review checklist enforcement</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Document Control</w:t>
      </w:r>
    </w:p>
    <w:p>
      <w:pPr>
        <w:pStyle w:val="Heading2"/>
        <w:spacing w:after="120" w:before="360" w:line="312" w:lineRule="auto"/>
      </w:pPr>
      <w:r>
        <w:rPr>
          <w:rFonts w:ascii="Calibri" w:cs="Calibri" w:eastAsia="Calibri" w:hAnsi="Calibri"/>
          <w:color w:val="1A1A1A"/>
          <w:sz w:val="36"/>
          <w:szCs w:val="36"/>
        </w:rPr>
        <w:t xml:space="preserve">Version History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Version</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Date</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Author</w:t>
            </w:r>
          </w:p>
        </w:tc>
        <w:tc>
          <w:tcPr>
            <w:tcW w:type="pct" w:w="6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Changes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1.1</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April 16, 2026</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Reaz / Copilot</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Added Section 14: Internal Tooling Architecture (.NET MAUI Strategy) — complete specifications for Admin Pricing Console, Operations Dashboard, Partner SDK Companion App, shared Razor component library, development workflow, build timeline, and success metrics.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April 16, 2026</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Reaz, Founder — ReazLab</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Initial release. Complete Master PRD covering all 13 sections: product vision, branding, personas, architecture, monetization, partner engine, pricing console, universal pricing rights, viral growth engine, failure-proofing, technical requirements, security/compliance, and roadmap/KPIs.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0.9</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April 10, 2026</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Reaz, Founder — ReazLab</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Draft review. Internal feedback incorporated on monetization model (Section 5), risk matrix (Section 10), and KPI targets (Section 13). Competitive landscape table expanded.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0.5</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March 28, 2026</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Reaz, Founder — ReazLab</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Initial draft. Sections 1–8 complete. Sections 9–13 in outline form. Circulated for early feedback from advisors.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Approval Signatures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tblHeader w:val="false"/>
        </w:trPr>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666666"/>
                <w:sz w:val="20"/>
                <w:szCs w:val="20"/>
              </w:rPr>
              <w:t xml:space="preserve">Prepared By:</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Reaz</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666666"/>
                <w:sz w:val="18"/>
                <w:szCs w:val="18"/>
              </w:rPr>
              <w:t xml:space="preserve">Founder &amp; CEO — ReazLab</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666666"/>
                <w:sz w:val="18"/>
                <w:szCs w:val="18"/>
              </w:rPr>
              <w:t xml:space="preserve">Date: _______________</w:t>
            </w:r>
          </w:p>
        </w:tc>
        <w:tc>
          <w:tcPr>
            <w:tcW w:type="pct" w:w="9%"/>
            <w:tcMar>
              <w:top w:type="dxa" w:w="90"/>
              <w:left w:type="dxa" w:w="120"/>
              <w:bottom w:type="dxa" w:w="90"/>
              <w:right w:type="dxa" w:w="120"/>
            </w:tcMar>
          </w:tcPr>
          <w:p>
            <w:r>
              <w:rPr>
                <w:b w:val="false"/>
                <w:bCs w:val="false"/>
              </w:rPr>
              <w:t xml:space="preserve"/>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666666"/>
                <w:sz w:val="20"/>
                <w:szCs w:val="20"/>
              </w:rPr>
              <w:t xml:space="preserve">Reviewed By:</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___________________</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666666"/>
                <w:sz w:val="18"/>
                <w:szCs w:val="18"/>
              </w:rPr>
              <w:t xml:space="preserve">Title: _______________</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666666"/>
                <w:sz w:val="18"/>
                <w:szCs w:val="18"/>
              </w:rPr>
              <w:t xml:space="preserve">Date: _______________</w:t>
            </w:r>
          </w:p>
        </w:tc>
      </w:tr>
    </w:tbl>
    <w:p>
      <w:pPr>
        <w:spacing w:after="200" w:before="0"/>
      </w:pP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tblHeader w:val="false"/>
        </w:trPr>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666666"/>
                <w:sz w:val="20"/>
                <w:szCs w:val="20"/>
              </w:rPr>
              <w:t xml:space="preserve">Approved By:</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___________________</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666666"/>
                <w:sz w:val="18"/>
                <w:szCs w:val="18"/>
              </w:rPr>
              <w:t xml:space="preserve">Title: _______________</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666666"/>
                <w:sz w:val="18"/>
                <w:szCs w:val="18"/>
              </w:rPr>
              <w:t xml:space="preserve">Date: _______________</w:t>
            </w:r>
          </w:p>
        </w:tc>
        <w:tc>
          <w:tcPr>
            <w:tcW w:type="pct" w:w="8%"/>
            <w:tcMar>
              <w:top w:type="dxa" w:w="90"/>
              <w:left w:type="dxa" w:w="120"/>
              <w:bottom w:type="dxa" w:w="90"/>
              <w:right w:type="dxa" w:w="120"/>
            </w:tcMar>
          </w:tcPr>
          <w:p>
            <w:r>
              <w:rPr>
                <w:b w:val="false"/>
                <w:bCs w:val="false"/>
              </w:rPr>
              <w:t xml:space="preserve"/>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666666"/>
                <w:sz w:val="20"/>
                <w:szCs w:val="20"/>
              </w:rPr>
              <w:t xml:space="preserve">Acknowledged By (Investor):</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___________________</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666666"/>
                <w:sz w:val="18"/>
                <w:szCs w:val="18"/>
              </w:rPr>
              <w:t xml:space="preserve">Title: _______________</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666666"/>
                <w:sz w:val="18"/>
                <w:szCs w:val="18"/>
              </w:rPr>
              <w:t xml:space="preserve">Date: _______________</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Distribution List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Recipient</w:t>
            </w:r>
          </w:p>
        </w:tc>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Role</w:t>
            </w:r>
          </w:p>
        </w:tc>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Access Level</w:t>
            </w:r>
          </w:p>
        </w:tc>
        <w:tc>
          <w:tcPr>
            <w:tcW w:type="pct" w:w="3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Distribution Method</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Reaz</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Founder &amp; CEO, ReazLab</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Access</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Primary author — master copy</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Engineering Lead</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CTO / Lead Engineer</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Access</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Secure document share</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Legal Counsel</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External Legal Advisor</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Sections 8, 10, 12</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Encrypted email, NDA required</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Investor(s)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Prospective Investors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Access (read-only)</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Secure data room, NDA required</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Advisory Board</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Strategic Advisors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Access (read-only)</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Secure document share, NDA required</w:t>
            </w:r>
          </w:p>
        </w:tc>
      </w:tr>
    </w:tbl>
    <w:p>
      <w:pPr>
        <w:spacing w:after="200" w:before="0"/>
      </w:pPr>
    </w:p>
    <w:p>
      <w:pPr>
        <w:pBdr>
          <w:bottom w:val="single" w:color="000000" w:sz="6"/>
        </w:pBdr>
        <w:spacing w:after="240" w:before="240"/>
      </w:pPr>
    </w:p>
    <w:p>
      <w:pPr>
        <w:spacing w:after="60" w:before="60" w:line="360" w:lineRule="auto"/>
        <w:jc w:val="center"/>
      </w:pPr>
      <w:r>
        <w:rPr>
          <w:rFonts w:ascii="Calibri" w:cs="Calibri" w:eastAsia="Calibri" w:hAnsi="Calibri"/>
          <w:b w:val="false"/>
          <w:bCs w:val="false"/>
          <w:i w:val="false"/>
          <w:iCs w:val="false"/>
          <w:strike w:val="false"/>
          <w:color w:val="666666"/>
          <w:sz w:val="22"/>
          <w:szCs w:val="22"/>
        </w:rPr>
        <w:t xml:space="preserve">Beamo — Master Product Requirements Document v1.0</w:t>
      </w:r>
    </w:p>
    <w:p>
      <w:pPr>
        <w:spacing w:after="60" w:before="60" w:line="360" w:lineRule="auto"/>
        <w:jc w:val="center"/>
      </w:pPr>
      <w:r>
        <w:rPr>
          <w:rFonts w:ascii="Calibri" w:cs="Calibri" w:eastAsia="Calibri" w:hAnsi="Calibri"/>
          <w:b w:val="false"/>
          <w:bCs w:val="false"/>
          <w:i w:val="false"/>
          <w:iCs w:val="false"/>
          <w:strike w:val="false"/>
          <w:color w:val="999999"/>
          <w:sz w:val="22"/>
          <w:szCs w:val="22"/>
        </w:rPr>
        <w:t xml:space="preserve">© 2026 ReazLab. All rights reserved.</w:t>
      </w:r>
    </w:p>
    <w:p>
      <w:pPr>
        <w:spacing w:after="60" w:before="60" w:line="360" w:lineRule="auto"/>
        <w:jc w:val="center"/>
      </w:pPr>
      <w:r>
        <w:rPr>
          <w:rFonts w:ascii="Calibri" w:cs="Calibri" w:eastAsia="Calibri" w:hAnsi="Calibri"/>
          <w:b w:val="false"/>
          <w:bCs w:val="false"/>
          <w:i w:val="false"/>
          <w:iCs w:val="false"/>
          <w:strike w:val="false"/>
          <w:color w:val="CC0000"/>
          <w:sz w:val="22"/>
          <w:szCs w:val="22"/>
        </w:rPr>
        <w:t xml:space="preserve">CONFIDENTIAL — Unauthorized distribution is strictly prohibited.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FrhUEqdJvUFAXkE15wViM</dc:title>
  <dc:creator>Un-named</dc:creator>
  <dc:description>Generated document</dc:description>
  <cp:lastModifiedBy>Un-named</cp:lastModifiedBy>
  <cp:revision>1</cp:revision>
  <dcterms:created xsi:type="dcterms:W3CDTF">2026-04-16T18:20:11.811Z</dcterms:created>
  <dcterms:modified xsi:type="dcterms:W3CDTF">2026-04-16T18:20:11.811Z</dcterms:modified>
</cp:coreProperties>
</file>

<file path=docProps/custom.xml><?xml version="1.0" encoding="utf-8"?>
<Properties xmlns="http://schemas.openxmlformats.org/officeDocument/2006/custom-properties" xmlns:vt="http://schemas.openxmlformats.org/officeDocument/2006/docPropsVTypes"/>
</file>