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6435F"/>
          <w:sz w:val="60"/>
          <w:szCs w:val="60"/>
        </w:rPr>
        <w:t xml:space="preserve">TABLEAU DE GARANTI</w:t>
      </w:r>
    </w:p>
    <w:p>
      <w:pPr>
        <w:spacing w:after="0" w:before="120"/>
        <w:jc w:val="center"/>
      </w:pPr>
      <w:r>
        <w:rPr>
          <w:i/>
          <w:iCs/>
          <w:color w:val="1F6FB2"/>
          <w:sz w:val="30"/>
          <w:szCs w:val="30"/>
        </w:rPr>
        <w:t xml:space="preserve">Le copilote financier du devis dentaire</w:t>
      </w:r>
    </w:p>
    <w:p>
      <w:pPr>
        <w:spacing w:after="0" w:before="600"/>
        <w:jc w:val="center"/>
      </w:pPr>
      <w:r>
        <w:rPr>
          <w:b/>
          <w:bCs/>
          <w:color w:val="000000"/>
          <w:sz w:val="36"/>
          <w:szCs w:val="36"/>
        </w:rPr>
        <w:t xml:space="preserve">Business plan</w:t>
      </w:r>
    </w:p>
    <w:p>
      <w:pPr>
        <w:spacing w:after="0" w:before="120"/>
        <w:jc w:val="center"/>
      </w:pPr>
      <w:r>
        <w:rPr>
          <w:color w:val="555555"/>
          <w:sz w:val="24"/>
          <w:szCs w:val="24"/>
        </w:rPr>
        <w:t xml:space="preserve">SaaS d’aide à la lecture des garanties mutuelle et à l’estimation du reste à charge</w:t>
      </w:r>
    </w:p>
    <w:p>
      <w:pPr>
        <w:spacing w:after="0" w:before="1400"/>
        <w:jc w:val="center"/>
      </w:pPr>
      <w:r>
        <w:rPr>
          <w:color w:val="777777"/>
          <w:sz w:val="22"/>
          <w:szCs w:val="22"/>
        </w:rPr>
        <w:t xml:space="preserve">Document de travail – Mai 2026</w:t>
      </w:r>
    </w:p>
    <w:p>
      <w:pPr>
        <w:spacing w:after="0" w:before="60"/>
        <w:jc w:val="center"/>
      </w:pPr>
      <w:r>
        <w:rPr>
          <w:color w:val="999999"/>
          <w:sz w:val="20"/>
          <w:szCs w:val="20"/>
        </w:rPr>
        <w:t xml:space="preserve">Confidentiel</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Résumé exécutif</w:t>
      </w:r>
    </w:p>
    <w:p>
      <w:pPr>
        <w:spacing w:after="120" w:line="276"/>
      </w:pPr>
      <w:r>
        <w:t xml:space="preserve">Tableau de Garanti est un logiciel en ligne (SaaS) destiné aux cabinets dentaires. Avant le rendez-vous, le patient transmet son tableau de garanties mutuelle ; le logiciel l’analyse, croise les garanties avec les actes envisagés, puis estime le remboursement et surtout le reste à charge selon plusieurs options de traitement. Le cabinet valide, et le patient reçoit un rapport clair et pédagogique.</w:t>
      </w:r>
    </w:p>
    <w:p>
      <w:pPr>
        <w:spacing w:after="120" w:line="276"/>
      </w:pPr>
      <w:r>
        <w:t xml:space="preserve">La promesse n’est pas de « maximiser le remboursement » mais de rendre lisible la dimension financière d’un plan de traitement médicalement justifié. Le bon positionnement est celui d’un copilote financier du devis dentaire : transparent, conforme et rassurant.</w:t>
      </w:r>
    </w:p>
    <w:p>
      <w:pPr>
        <w:spacing w:after="120" w:line="276"/>
      </w:pPr>
      <w:r>
        <w:t xml:space="preserve">Le problème est réel et triple : les patients ne comprennent pas leurs garanties, les équipes perdent un temps administratif considérable, et les devis sont souvent différés ou refusés faute de clarté financière. Le levier économique principal n’est pas l’abonnement : c’est l’augmentation du taux d’acceptation des plans de traitement à forte valeur (prothèse, implantologie).</w:t>
      </w:r>
    </w:p>
    <w:p>
      <w:pPr>
        <w:spacing w:after="120" w:line="276"/>
      </w:pPr>
      <w:r>
        <w:t xml:space="preserve">Modèle économique : abonnement SaaS mensuel par cabinet, de 49 € à 499 €/mois selon la taille et l’intensité d’usage, avec une offre sur devis pour les centres et réseaux. Stratégie d’entrée prudente : un outil interne validé sur 50 à 100 vrais tableaux, testé dans quelques cabinets pilotes, avant industrialisation en SaaS.</w:t>
      </w:r>
    </w:p>
    <w:p>
      <w:pPr>
        <w:spacing w:after="120" w:line="276"/>
      </w:pPr>
      <w:r>
        <w:rPr>
          <w:i/>
          <w:iCs/>
        </w:rPr>
        <w:t xml:space="preserve">Point de vigilance central : il s’agit de données de santé. Le produit doit afficher une mention d’estimation non contractuelle, conserver une validation humaine, et reposer sur un hébergement certifié HDS conforme au RGPD.</w:t>
      </w:r>
    </w:p>
    <w:p>
      <w:pPr>
        <w:pStyle w:val="Heading1"/>
      </w:pPr>
      <w:r>
        <w:t xml:space="preserve">2. Le problème</w:t>
      </w:r>
    </w:p>
    <w:p>
      <w:pPr>
        <w:spacing w:after="120" w:line="276"/>
      </w:pPr>
      <w:r>
        <w:t xml:space="preserve">Dans un cabinet dentaire, la chaîne entre le diagnostic et l’acceptation du devis est freinée par l’opacité des garanties mutuelle. Les difficultés s’accumulent et se traduisent directement en perte de temps et en devis non signés.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Difficulté</w:t>
            </w:r>
          </w:p>
        </w:tc>
        <w:tc>
          <w:tcPr>
            <w:tcW w:type="dxa" w:w="51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Conséquence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Les tableaux de garanties sont difficiles à lire (pourcentages, BRSS, plafonds, forfaits)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Le patient ne comprend pas ses droits réels</w:t>
            </w:r>
          </w:p>
        </w:tc>
      </w:tr>
      <w:tr>
        <w:trPr>
          <w:tblHeader w:val="false"/>
        </w:trP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L’assistante ou le praticien interprète manuellement chaque contrat</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Temps administratif important, répétitif</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Le devis est envoyé à la mutuelle puis on attend 10 à 15 jours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Retard dans la décision et perte de momentum</w:t>
            </w:r>
          </w:p>
        </w:tc>
      </w:tr>
      <w:tr>
        <w:trPr>
          <w:tblHeader w:val="false"/>
        </w:trP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Le patient bloque sur le prix sans connaître son reste à charge</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Acceptation plus faible des plans de traitement</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Les garanties varient énormément d’un contrat à l’autre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Risque d’erreur ou de sous-estimation</w:t>
            </w:r>
          </w:p>
        </w:tc>
      </w:tr>
      <w:tr>
        <w:trPr>
          <w:tblHeader w:val="false"/>
        </w:trP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Aucun outil pour simuler plusieurs scénarios</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Opportunité manquée d’expliquer les options</w:t>
            </w:r>
          </w:p>
        </w:tc>
      </w:tr>
    </w:tbl>
    <w:p>
      <w:pPr>
        <w:spacing w:after="80"/>
      </w:pPr>
    </w:p>
    <w:p>
      <w:pPr>
        <w:spacing w:after="120" w:line="276"/>
      </w:pPr>
      <w:r>
        <w:t xml:space="preserve">Le contexte réglementaire renforce ce besoin de clarté. La réforme 100 % Santé a structuré trois paniers (reste à charge zéro, tarifs maîtrisés, tarifs libres)</w:t>
      </w:r>
      <w:r>
        <w:rPr>
          <w:rStyle w:val="FootnoteReference"/>
        </w:rPr>
        <w:footnoteReference w:id="2"/>
      </w:r>
      <w:r>
        <w:t xml:space="preserve">, mais la Sécurité sociale ne rembourse qu’une fraction du tarif : par exemple, une couronne céramo-métallique sur base de 120 € n’est remboursée qu’à 72 € par l’Assurance Maladie</w:t>
      </w:r>
      <w:r>
        <w:rPr>
          <w:rStyle w:val="FootnoteReference"/>
        </w:rPr>
        <w:footnoteReference w:id="1"/>
      </w:r>
      <w:r>
        <w:t xml:space="preserve">. Et certains actes à forte valeur, comme l’implant, ne sont pas pris en charge par la Sécurité sociale</w:t>
      </w:r>
      <w:r>
        <w:rPr>
          <w:rStyle w:val="FootnoteReference"/>
        </w:rPr>
        <w:footnoteReference w:id="3"/>
      </w:r>
      <w:r>
        <w:t xml:space="preserve">. Tout le reste à charge dépend donc de la mutuelle – d’où l’intérêt d’un outil qui rend cette part lisible avant le rendez-vous.</w:t>
      </w:r>
    </w:p>
    <w:p>
      <w:pPr>
        <w:pStyle w:val="Heading1"/>
      </w:pPr>
      <w:r>
        <w:t xml:space="preserve">3. La solution et la proposition de valeur</w:t>
      </w:r>
    </w:p>
    <w:p>
      <w:pPr>
        <w:spacing w:after="120" w:line="276"/>
      </w:pPr>
      <w:r>
        <w:t xml:space="preserve">Tableau de Garanti fonctionne comme un assistant intelligent du cabinet, en quatre temps.</w:t>
      </w:r>
    </w:p>
    <w:p>
      <w:pPr>
        <w:pStyle w:val="Heading2"/>
      </w:pPr>
      <w:r>
        <w:t xml:space="preserve">Parcours type</w:t>
      </w:r>
    </w:p>
    <w:p>
      <w:pPr>
        <w:pStyle w:val="ListParagraph"/>
        <w:numPr>
          <w:ilvl w:val="0"/>
          <w:numId w:val="2"/>
        </w:numPr>
        <w:spacing w:after="60" w:line="264"/>
      </w:pPr>
      <w:r>
        <w:t xml:space="preserve">Avant le rendez-vous, le patient reçoit un lien (par e-mail ou SMS, idéalement intégré à l’outil de prise de RDV).</w:t>
      </w:r>
    </w:p>
    <w:p>
      <w:pPr>
        <w:pStyle w:val="ListParagraph"/>
        <w:numPr>
          <w:ilvl w:val="0"/>
          <w:numId w:val="2"/>
        </w:numPr>
        <w:spacing w:after="60" w:line="264"/>
      </w:pPr>
      <w:r>
        <w:t xml:space="preserve">Il transmet son tableau de garanties : photo, PDF de la mutuelle ou capture de son espace adhérent.</w:t>
      </w:r>
    </w:p>
    <w:p>
      <w:pPr>
        <w:pStyle w:val="ListParagraph"/>
        <w:numPr>
          <w:ilvl w:val="0"/>
          <w:numId w:val="2"/>
        </w:numPr>
        <w:spacing w:after="60" w:line="264"/>
      </w:pPr>
      <w:r>
        <w:t xml:space="preserve">Le logiciel extrait les garanties dentaires (prothèse, implant, paro, orthodontie, etc.) et estime le remboursement et le reste à charge selon plusieurs options.</w:t>
      </w:r>
    </w:p>
    <w:p>
      <w:pPr>
        <w:pStyle w:val="ListParagraph"/>
        <w:numPr>
          <w:ilvl w:val="0"/>
          <w:numId w:val="2"/>
        </w:numPr>
        <w:spacing w:after="60" w:line="264"/>
      </w:pPr>
      <w:r>
        <w:t xml:space="preserve">Le cabinet valide l’estimation ; le patient reçoit un rapport clair, pédagogique et explicitement non contractuel.</w:t>
      </w:r>
    </w:p>
    <w:p>
      <w:pPr>
        <w:pStyle w:val="Heading2"/>
      </w:pPr>
      <w:r>
        <w:t xml:space="preserve">Ce que l’outil calcule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Domaine</w:t>
            </w:r>
          </w:p>
        </w:tc>
        <w:tc>
          <w:tcPr>
            <w:tcW w:type="dxa" w:w="63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Exemples d’actes pris en compte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Prothèse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Couronne zircone, céramo-métallique, inlay-core, bridge</w:t>
            </w:r>
          </w:p>
        </w:tc>
      </w:tr>
      <w:tr>
        <w:trPr>
          <w:tblHeader w:val="false"/>
        </w:trP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Implantologie</w:t>
            </w:r>
          </w:p>
        </w:tc>
        <w:tc>
          <w:tcPr>
            <w:tcW w:type="dxa" w:w="6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Implant, pilier, couronne sur implant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Parodontologie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Surfaçage, maintenance paro, actes hors nomenclature</w:t>
            </w:r>
          </w:p>
        </w:tc>
      </w:tr>
      <w:tr>
        <w:trPr>
          <w:tblHeader w:val="false"/>
        </w:trP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Orthodontie</w:t>
            </w:r>
          </w:p>
        </w:tc>
        <w:tc>
          <w:tcPr>
            <w:tcW w:type="dxa" w:w="6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Forfaits semestriels, remboursements enfants/adultes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Esthétique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Gouttières, blanchiment, facettes (souvent hors nomenclature)</w:t>
            </w:r>
          </w:p>
        </w:tc>
      </w:tr>
      <w:tr>
        <w:trPr>
          <w:tblHeader w:val="false"/>
        </w:trP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Soins conservateurs</w:t>
            </w:r>
          </w:p>
        </w:tc>
        <w:tc>
          <w:tcPr>
            <w:tcW w:type="dxa" w:w="6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Inlays/onlays, composites, dévitalisations</w:t>
            </w:r>
          </w:p>
        </w:tc>
      </w:tr>
    </w:tbl>
    <w:p>
      <w:pPr>
        <w:spacing w:after="80"/>
      </w:pPr>
    </w:p>
    <w:p>
      <w:pPr>
        <w:pStyle w:val="Heading2"/>
      </w:pPr>
      <w:r>
        <w:t xml:space="preserve">Exemple de restitution patient (illustratif)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Option</w:t>
            </w:r>
          </w:p>
        </w:tc>
        <w:tc>
          <w:tcPr>
            <w:tcW w:type="dxa" w:w="20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Prix cabinet</w:t>
            </w:r>
          </w:p>
        </w:tc>
        <w:tc>
          <w:tcPr>
            <w:tcW w:type="dxa" w:w="20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Remb. estimé</w:t>
            </w:r>
          </w:p>
        </w:tc>
        <w:tc>
          <w:tcPr>
            <w:tcW w:type="dxa" w:w="20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Reste à charge</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Solution économique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800 €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500 €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300 €</w:t>
            </w:r>
          </w:p>
        </w:tc>
      </w:tr>
      <w:tr>
        <w:trPr>
          <w:tblHeader w:val="false"/>
        </w:trPr>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Solution intermédiaire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1 200 €</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700 €</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500 €</w:t>
            </w:r>
          </w:p>
        </w:tc>
      </w:tr>
      <w:tr>
        <w:trPr>
          <w:tblHeader w:val="false"/>
        </w:trP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Solution optimale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1 800 €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900 €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900 €</w:t>
            </w:r>
          </w:p>
        </w:tc>
      </w:tr>
    </w:tbl>
    <w:p>
      <w:pPr>
        <w:spacing w:after="80"/>
      </w:pPr>
    </w:p>
    <w:p>
      <w:pPr>
        <w:spacing w:after="120" w:line="276"/>
      </w:pPr>
      <w:r>
        <w:rPr>
          <w:b/>
          <w:bCs/>
        </w:rPr>
        <w:t xml:space="preserve">Cadrage important : </w:t>
      </w:r>
      <w:r>
        <w:t xml:space="preserve">l’objectif n’est jamais de gonfler artificiellement un devis. Il est d’optimiser la lisibilité financière d’un plan de traitement, dans le respect des indications médicales, des plafonds mutuelle et des règles déontologiques.</w:t>
      </w:r>
    </w:p>
    <w:p>
      <w:pPr>
        <w:pStyle w:val="Heading1"/>
      </w:pPr>
      <w:r>
        <w:t xml:space="preserve">4. Le bénéfice pour le cabinet</w:t>
      </w:r>
    </w:p>
    <w:p>
      <w:pPr>
        <w:spacing w:after="120" w:line="276"/>
      </w:pPr>
      <w:r>
        <w:t xml:space="preserve">Le SaaS crée de la valeur de deux manières : il fait gagner du temps, et surtout il améliore l’acceptation des plans de traitement à forte valeur.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Gain</w:t>
            </w:r>
          </w:p>
        </w:tc>
        <w:tc>
          <w:tcPr>
            <w:tcW w:type="dxa" w:w="51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Impact</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Moins de temps administratif</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Équipe plus disponible pour les patients</w:t>
            </w:r>
          </w:p>
        </w:tc>
      </w:tr>
      <w:tr>
        <w:trPr>
          <w:tblHeader w:val="false"/>
        </w:trP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Moins d’allers-retours avec les mutuelles</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Devis présentés plus vite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Patient mieux informé</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Meilleure acceptation, moins d’objections prix</w:t>
            </w:r>
          </w:p>
        </w:tc>
      </w:tr>
      <w:tr>
        <w:trPr>
          <w:tblHeader w:val="false"/>
        </w:trPr>
        <w:tc>
          <w:tcPr>
            <w:tcW w:type="dxa" w:w="4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Reste à charge anticipé</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Moins de rendez-vous inutiles</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Intégration paiement (Alma, Stripe, GoCardless)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Encaissement et échéanciers plus fluides</w:t>
            </w:r>
          </w:p>
        </w:tc>
      </w:tr>
    </w:tbl>
    <w:p>
      <w:pPr>
        <w:spacing w:after="80"/>
      </w:pPr>
    </w:p>
    <w:p>
      <w:pPr>
        <w:spacing w:after="120" w:line="276"/>
      </w:pPr>
      <w:r>
        <w:t xml:space="preserve">Calcul de rentabilité simple : si l’outil permet d’accepter seulement 2 à 3 devis supplémentaires par mois grâce à une meilleure clarté financière, sur des plans à 1 500–2 000 €, le retour sur investissement de l’abonnement est atteint dès le premier devis additionnel.</w:t>
      </w:r>
    </w:p>
    <w:p>
      <w:pPr>
        <w:pStyle w:val="Heading1"/>
      </w:pPr>
      <w:r>
        <w:t xml:space="preserve">5. Le produit : MVP et principe du double calcul</w:t>
      </w:r>
    </w:p>
    <w:p>
      <w:pPr>
        <w:spacing w:after="120" w:line="276"/>
      </w:pPr>
      <w:r>
        <w:t xml:space="preserve">La première version doit rester simple et fiable plutôt qu’ambitieuse. La connexion automatique aux espaces mutuelle est séduisante mais juridiquement et techniquement lourde : elle est reportée.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Fonction</w:t>
            </w:r>
          </w:p>
        </w:tc>
        <w:tc>
          <w:tcPr>
            <w:tcW w:type="dxa" w:w="39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MVP</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Upload du tableau de garanties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Oui</w:t>
            </w:r>
          </w:p>
        </w:tc>
      </w:tr>
      <w:tr>
        <w:trPr>
          <w:tblHeader w:val="false"/>
        </w:trPr>
        <w:tc>
          <w:tcPr>
            <w:tcW w:type="dxa" w:w="5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OCR / lecture PDF</w:t>
            </w:r>
          </w:p>
        </w:tc>
        <w:tc>
          <w:tcPr>
            <w:tcW w:type="dxa" w:w="3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Oui</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Extraction des garanties dentaires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Oui</w:t>
            </w:r>
          </w:p>
        </w:tc>
      </w:tr>
      <w:tr>
        <w:trPr>
          <w:tblHeader w:val="false"/>
        </w:trPr>
        <w:tc>
          <w:tcPr>
            <w:tcW w:type="dxa" w:w="5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Calcul prothèse / implant / paro</w:t>
            </w:r>
          </w:p>
        </w:tc>
        <w:tc>
          <w:tcPr>
            <w:tcW w:type="dxa" w:w="3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Oui</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Génération d’un rapport patient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Oui</w:t>
            </w:r>
          </w:p>
        </w:tc>
      </w:tr>
      <w:tr>
        <w:trPr>
          <w:tblHeader w:val="false"/>
        </w:trPr>
        <w:tc>
          <w:tcPr>
            <w:tcW w:type="dxa" w:w="5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Mention « estimation non contractuelle »</w:t>
            </w:r>
          </w:p>
        </w:tc>
        <w:tc>
          <w:tcPr>
            <w:tcW w:type="dxa" w:w="3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Obligatoire</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Validation humaine par le cabinet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Obligatoire</w:t>
            </w:r>
          </w:p>
        </w:tc>
      </w:tr>
      <w:tr>
        <w:trPr>
          <w:tblHeader w:val="false"/>
        </w:trPr>
        <w:tc>
          <w:tcPr>
            <w:tcW w:type="dxa" w:w="5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Connexion directe aux mutuelles</w:t>
            </w:r>
          </w:p>
        </w:tc>
        <w:tc>
          <w:tcPr>
            <w:tcW w:type="dxa" w:w="3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Plus tard</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IA autonome sans contrôle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À éviter</w:t>
            </w:r>
          </w:p>
        </w:tc>
      </w:tr>
    </w:tbl>
    <w:p>
      <w:pPr>
        <w:spacing w:after="80"/>
      </w:pPr>
    </w:p>
    <w:p>
      <w:pPr>
        <w:pStyle w:val="Heading2"/>
      </w:pPr>
      <w:r>
        <w:t xml:space="preserve">Fiabilité : double calcul et double vérification</w:t>
      </w:r>
    </w:p>
    <w:p>
      <w:pPr>
        <w:spacing w:after="120" w:line="276"/>
      </w:pPr>
      <w:r>
        <w:t xml:space="preserve">Pour limiter les erreurs et les « hallucinations », chaque estimation passe par plusieurs couches :</w:t>
      </w:r>
    </w:p>
    <w:p>
      <w:pPr>
        <w:pStyle w:val="ListParagraph"/>
        <w:numPr>
          <w:ilvl w:val="0"/>
          <w:numId w:val="3"/>
        </w:numPr>
        <w:spacing w:after="60" w:line="264"/>
      </w:pPr>
      <w:r>
        <w:t xml:space="preserve">Première lecture du tableau par l’IA (extraction des lignes pertinentes).</w:t>
      </w:r>
    </w:p>
    <w:p>
      <w:pPr>
        <w:pStyle w:val="ListParagraph"/>
        <w:numPr>
          <w:ilvl w:val="0"/>
          <w:numId w:val="3"/>
        </w:numPr>
        <w:spacing w:after="60" w:line="264"/>
      </w:pPr>
      <w:r>
        <w:t xml:space="preserve">Deuxième vérification par des règles métier (BRSS, plafonds, planchers, cumul des forfaits).</w:t>
      </w:r>
    </w:p>
    <w:p>
      <w:pPr>
        <w:pStyle w:val="ListParagraph"/>
        <w:numPr>
          <w:ilvl w:val="0"/>
          <w:numId w:val="3"/>
        </w:numPr>
        <w:spacing w:after="60" w:line="264"/>
      </w:pPr>
      <w:r>
        <w:t xml:space="preserve">Alerte automatique en cas d’incohérence ou de donnée manquante.</w:t>
      </w:r>
    </w:p>
    <w:p>
      <w:pPr>
        <w:pStyle w:val="ListParagraph"/>
        <w:numPr>
          <w:ilvl w:val="0"/>
          <w:numId w:val="3"/>
        </w:numPr>
        <w:spacing w:after="60" w:line="264"/>
      </w:pPr>
      <w:r>
        <w:t xml:space="preserve">Validation finale par le cabinet avant envoi au patient.</w:t>
      </w:r>
    </w:p>
    <w:p>
      <w:pPr>
        <w:spacing w:after="120" w:line="276"/>
      </w:pPr>
      <w:r>
        <w:t xml:space="preserve">Avec le temps, la correction manuelle des extractions alimente une base de données structurée des garanties, qui améliore progressivement la précision – c’est le futur actif défendable du produit.</w:t>
      </w:r>
    </w:p>
    <w:p>
      <w:pPr>
        <w:pStyle w:val="Heading1"/>
      </w:pPr>
      <w:r>
        <w:t xml:space="preserve">6. Cadre juridique, RGPD et déontologie</w:t>
      </w:r>
    </w:p>
    <w:p>
      <w:pPr>
        <w:spacing w:after="120" w:line="276"/>
      </w:pPr>
      <w:r>
        <w:t xml:space="preserve">C’est le sujet le plus sensible et il doit être traité dès le départ, pas après coup.</w:t>
      </w:r>
    </w:p>
    <w:p>
      <w:pPr>
        <w:spacing w:after="120" w:line="276"/>
      </w:pPr>
      <w:r>
        <w:t xml:space="preserve">Les tableaux de garanties et les estimations touchent à des données de santé. Leur hébergement impose en France une certification HDS (Hébergement de Données de Santé), adossée à l’ISO/IEC 27001 et au RGPD</w:t>
      </w:r>
      <w:r>
        <w:rPr>
          <w:rStyle w:val="FootnoteReference"/>
        </w:rPr>
        <w:footnoteReference w:id="4"/>
      </w:r>
      <w:r>
        <w:t xml:space="preserve">. L’architecture doit donc s’appuyer sur un hébergeur certifié HDS dès la mise en production.</w:t>
      </w:r>
    </w:p>
    <w:p>
      <w:pPr>
        <w:pStyle w:val="Heading2"/>
      </w:pPr>
      <w:r>
        <w:t xml:space="preserve">Principes à graver dans le produit</w:t>
      </w:r>
    </w:p>
    <w:p>
      <w:pPr>
        <w:pStyle w:val="ListParagraph"/>
        <w:numPr>
          <w:ilvl w:val="0"/>
          <w:numId w:val="3"/>
        </w:numPr>
        <w:spacing w:after="60" w:line="264"/>
      </w:pPr>
      <w:r>
        <w:t xml:space="preserve">Estimation, jamais garantie : le terme « remboursement garanti » est banni. Toute restitution porte la mention « estimation non contractuelle ».</w:t>
      </w:r>
    </w:p>
    <w:p>
      <w:pPr>
        <w:pStyle w:val="ListParagraph"/>
        <w:numPr>
          <w:ilvl w:val="0"/>
          <w:numId w:val="3"/>
        </w:numPr>
        <w:spacing w:after="60" w:line="264"/>
      </w:pPr>
      <w:r>
        <w:t xml:space="preserve">Validation humaine obligatoire avant envoi au patient.</w:t>
      </w:r>
    </w:p>
    <w:p>
      <w:pPr>
        <w:pStyle w:val="ListParagraph"/>
        <w:numPr>
          <w:ilvl w:val="0"/>
          <w:numId w:val="3"/>
        </w:numPr>
        <w:spacing w:after="60" w:line="264"/>
      </w:pPr>
      <w:r>
        <w:t xml:space="preserve">Consentement explicite du patient, minimisation des données, durée de conservation limitée, droit à l’effacement.</w:t>
      </w:r>
    </w:p>
    <w:p>
      <w:pPr>
        <w:pStyle w:val="ListParagraph"/>
        <w:numPr>
          <w:ilvl w:val="0"/>
          <w:numId w:val="3"/>
        </w:numPr>
        <w:spacing w:after="60" w:line="264"/>
      </w:pPr>
      <w:r>
        <w:t xml:space="preserve">Hébergement certifié HDS, chiffrement, traçabilité des accès.</w:t>
      </w:r>
    </w:p>
    <w:p>
      <w:pPr>
        <w:pStyle w:val="ListParagraph"/>
        <w:numPr>
          <w:ilvl w:val="0"/>
          <w:numId w:val="3"/>
        </w:numPr>
        <w:spacing w:after="60" w:line="264"/>
      </w:pPr>
      <w:r>
        <w:t xml:space="preserve">Pas d’incitation à surcoter, surtraiter ou modifier le plan médical en fonction de la mutuelle.</w:t>
      </w:r>
    </w:p>
    <w:p>
      <w:pPr>
        <w:spacing w:after="120" w:line="276"/>
      </w:pPr>
      <w:r>
        <w:rPr>
          <w:b/>
          <w:bCs/>
        </w:rPr>
        <w:t xml:space="preserve">Le bon angle : </w:t>
      </w:r>
      <w:r>
        <w:t xml:space="preserve">« Aider le patient et le cabinet à comprendre les garanties disponibles afin de choisir un plan adapté, transparent et conforme. » La nuance avec « tirer le maximum de la mutuelle » est juridiquement décisive.</w:t>
      </w:r>
    </w:p>
    <w:p>
      <w:pPr>
        <w:pStyle w:val="Heading1"/>
      </w:pPr>
      <w:r>
        <w:t xml:space="preserve">7. Marché et extensions</w:t>
      </w:r>
    </w:p>
    <w:p>
      <w:pPr>
        <w:spacing w:after="120" w:line="276"/>
      </w:pPr>
      <w:r>
        <w:t xml:space="preserve">Le marché d’entrée est le dentaire (environ 40 000 chirurgiens-dentistes en France), avec une concentration de valeur sur les cabinets orientés prothèse et implantologie, là où les restes à charge sont les plus élevés et les devis les plus sensibles.</w:t>
      </w:r>
    </w:p>
    <w:p>
      <w:pPr>
        <w:spacing w:after="120" w:line="276"/>
      </w:pPr>
      <w:r>
        <w:t xml:space="preserve">Le même moteur de lecture des garanties peut ensuite s’étendre à d’autres secteurs où les remboursements sont complexes.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Secteur voisin</w:t>
            </w:r>
          </w:p>
        </w:tc>
        <w:tc>
          <w:tcPr>
            <w:tcW w:type="dxa" w:w="59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Pourquoi c’est pertinent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Optique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Fort besoin de lecture des garanties, forfaits verres/montures</w:t>
            </w:r>
          </w:p>
        </w:tc>
      </w:tr>
      <w:tr>
        <w:trPr>
          <w:tblHeader w:val="false"/>
        </w:trPr>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Audioprothèse</w:t>
            </w:r>
          </w:p>
        </w:tc>
        <w:tc>
          <w:tcPr>
            <w:tcW w:type="dxa" w:w="5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Restes à charge élevés, devis complexes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Orthodontie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Forfaits, plafonds, remboursements étalés</w:t>
            </w:r>
          </w:p>
        </w:tc>
      </w:tr>
      <w:tr>
        <w:trPr>
          <w:tblHeader w:val="false"/>
        </w:trPr>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Kiné / ostéo / médecines complémentaires</w:t>
            </w:r>
          </w:p>
        </w:tc>
        <w:tc>
          <w:tcPr>
            <w:tcW w:type="dxa" w:w="5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Forfaits annuels complexes</w:t>
            </w:r>
          </w:p>
        </w:tc>
      </w:tr>
    </w:tbl>
    <w:p>
      <w:pPr>
        <w:spacing w:after="80"/>
      </w:pPr>
    </w:p>
    <w:p>
      <w:pPr>
        <w:spacing w:after="120" w:line="276"/>
      </w:pPr>
      <w:r>
        <w:rPr>
          <w:i/>
          <w:iCs/>
        </w:rPr>
        <w:t xml:space="preserve">Vision à terme : « le moteur intelligent de compréhension des garanties santé », en commençant par le dentaire pour prouver la valeur sur un usage à fort ROI.</w:t>
      </w:r>
    </w:p>
    <w:p>
      <w:pPr>
        <w:pStyle w:val="Heading1"/>
      </w:pPr>
      <w:r>
        <w:t xml:space="preserve">8. Modèle économique</w:t>
      </w:r>
    </w:p>
    <w:p>
      <w:pPr>
        <w:spacing w:after="120" w:line="276"/>
      </w:pPr>
      <w:r>
        <w:t xml:space="preserve">Abonnement SaaS mensuel par cabinet, segmenté selon la taille et l’intensité d’usage.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Offre</w:t>
            </w:r>
          </w:p>
        </w:tc>
        <w:tc>
          <w:tcPr>
            <w:tcW w:type="dxa" w:w="26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Prix indicatif</w:t>
            </w:r>
          </w:p>
        </w:tc>
        <w:tc>
          <w:tcPr>
            <w:tcW w:type="dxa" w:w="41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Cible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Solo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49 – 79 €/mois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Praticien seul, petit cabinet</w:t>
            </w:r>
          </w:p>
        </w:tc>
      </w:tr>
      <w:tr>
        <w:trPr>
          <w:tblHeader w:val="false"/>
        </w:trP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Pro</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99 – 199 €/mois</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Cabinet avec assistante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Premium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299 – 499 €/mois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Cabinet orienté prothèse / implanto</w:t>
            </w:r>
          </w:p>
        </w:tc>
      </w:tr>
      <w:tr>
        <w:trPr>
          <w:tblHeader w:val="false"/>
        </w:trP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Groupe / centres</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Sur devis</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Chaînes, réseaux, gros cabinets</w:t>
            </w:r>
          </w:p>
        </w:tc>
      </w:tr>
    </w:tbl>
    <w:p>
      <w:pPr>
        <w:spacing w:after="80"/>
      </w:pPr>
    </w:p>
    <w:p>
      <w:pPr>
        <w:spacing w:after="120" w:line="276"/>
      </w:pPr>
      <w:r>
        <w:t xml:space="preserve">Le prix se justifie par la valeur créée (devis acceptés, temps gagné) bien plus que par le coût du logiciel. Pour les cabinets d’implantologie, un positionnement haut de gamme est défendable. Des revenus complémentaires sont possibles à terme via les intégrations de paiement (mise en relation Alma/Stripe/GoCardless) et l’offre centres.</w:t>
      </w:r>
    </w:p>
    <w:p>
      <w:pPr>
        <w:pStyle w:val="Heading1"/>
      </w:pPr>
      <w:r>
        <w:t xml:space="preserve">9. Stratégie de mise sur le marché</w:t>
      </w:r>
    </w:p>
    <w:p>
      <w:pPr>
        <w:spacing w:after="120" w:line="276"/>
      </w:pPr>
      <w:r>
        <w:t xml:space="preserve">L’approche est volontairement pragmatique et progressive, pour valider la valeur avant d’investir dans l’industrialisation.</w:t>
      </w:r>
    </w:p>
    <w:p>
      <w:pPr>
        <w:pStyle w:val="ListParagraph"/>
        <w:numPr>
          <w:ilvl w:val="0"/>
          <w:numId w:val="2"/>
        </w:numPr>
        <w:spacing w:after="60" w:line="264"/>
      </w:pPr>
      <w:r>
        <w:t xml:space="preserve">Étape 1 – Outil interne : construire et utiliser l’outil dans un cabinet de référence.</w:t>
      </w:r>
    </w:p>
    <w:p>
      <w:pPr>
        <w:pStyle w:val="ListParagraph"/>
        <w:numPr>
          <w:ilvl w:val="0"/>
          <w:numId w:val="2"/>
        </w:numPr>
        <w:spacing w:after="60" w:line="264"/>
      </w:pPr>
      <w:r>
        <w:t xml:space="preserve">Étape 2 – Validation : le tester sur 50 à 100 vrais tableaux de garanties.</w:t>
      </w:r>
    </w:p>
    <w:p>
      <w:pPr>
        <w:pStyle w:val="ListParagraph"/>
        <w:numPr>
          <w:ilvl w:val="0"/>
          <w:numId w:val="2"/>
        </w:numPr>
        <w:spacing w:after="60" w:line="264"/>
      </w:pPr>
      <w:r>
        <w:t xml:space="preserve">Étape 3 – Mesure : temps gagné par devis, taux d’acceptation avant/après, nombre d’erreurs, satisfaction patient, gain de chiffre d’affaires.</w:t>
      </w:r>
    </w:p>
    <w:p>
      <w:pPr>
        <w:pStyle w:val="ListParagraph"/>
        <w:numPr>
          <w:ilvl w:val="0"/>
          <w:numId w:val="2"/>
        </w:numPr>
        <w:spacing w:after="60" w:line="264"/>
      </w:pPr>
      <w:r>
        <w:t xml:space="preserve">Étape 4 – Pilotes : le proposer à 5 cabinets partenaires.</w:t>
      </w:r>
    </w:p>
    <w:p>
      <w:pPr>
        <w:pStyle w:val="ListParagraph"/>
        <w:numPr>
          <w:ilvl w:val="0"/>
          <w:numId w:val="2"/>
        </w:numPr>
        <w:spacing w:after="60" w:line="264"/>
      </w:pPr>
      <w:r>
        <w:t xml:space="preserve">Étape 5 – SaaS : industrialiser, packager les offres, structurer le support et la conformité.</w:t>
      </w:r>
    </w:p>
    <w:p>
      <w:pPr>
        <w:pStyle w:val="Heading2"/>
      </w:pPr>
      <w:r>
        <w:t xml:space="preserve">Canaux d’acquisition</w:t>
      </w:r>
    </w:p>
    <w:p>
      <w:pPr>
        <w:pStyle w:val="ListParagraph"/>
        <w:numPr>
          <w:ilvl w:val="0"/>
          <w:numId w:val="3"/>
        </w:numPr>
        <w:spacing w:after="60" w:line="264"/>
      </w:pPr>
      <w:r>
        <w:t xml:space="preserve">Intégrations à l’écosystème cabinet (logiciel de gestion, Doctolib pour l’envoi du lien avant RDV).</w:t>
      </w:r>
    </w:p>
    <w:p>
      <w:pPr>
        <w:pStyle w:val="ListParagraph"/>
        <w:numPr>
          <w:ilvl w:val="0"/>
          <w:numId w:val="3"/>
        </w:numPr>
        <w:spacing w:after="60" w:line="264"/>
      </w:pPr>
      <w:r>
        <w:t xml:space="preserve">Bouche-à-oreille entre praticiens, recommandations de pairs, formations et congrès dentaires.</w:t>
      </w:r>
    </w:p>
    <w:p>
      <w:pPr>
        <w:pStyle w:val="ListParagraph"/>
        <w:numPr>
          <w:ilvl w:val="0"/>
          <w:numId w:val="3"/>
        </w:numPr>
        <w:spacing w:after="60" w:line="264"/>
      </w:pPr>
      <w:r>
        <w:t xml:space="preserve">Cas clients chiffrés issus des pilotes (avant/après sur le taux d’acceptation).</w:t>
      </w:r>
    </w:p>
    <w:p>
      <w:pPr>
        <w:pStyle w:val="Heading1"/>
      </w:pPr>
      <w:r>
        <w:t xml:space="preserve">10. Projections financières (scénario indicatif)</w:t>
      </w:r>
    </w:p>
    <w:p>
      <w:pPr>
        <w:spacing w:after="120" w:line="276"/>
      </w:pPr>
      <w:r>
        <w:t xml:space="preserve">Hypothèses prudentes : panier moyen de 130 €/mois par cabinet (mix Solo/Pro/Premium), churn modéré, montée progressive après la phase pilote. Chiffres illustratifs à affiner avec les données réelles des pilotes.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Indicateur</w:t>
            </w:r>
          </w:p>
        </w:tc>
        <w:tc>
          <w:tcPr>
            <w:tcW w:type="dxa" w:w="232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Année 1</w:t>
            </w:r>
          </w:p>
        </w:tc>
        <w:tc>
          <w:tcPr>
            <w:tcW w:type="dxa" w:w="232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Année 2</w:t>
            </w:r>
          </w:p>
        </w:tc>
        <w:tc>
          <w:tcPr>
            <w:tcW w:type="dxa" w:w="232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Année 3</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Cabinets abonnés (fin d’année)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25</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120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350</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ARPU mensuel moyen</w:t>
            </w:r>
          </w:p>
        </w:tc>
        <w:tc>
          <w:tcPr>
            <w:tcW w:type="dxa" w:w="23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130 €</w:t>
            </w:r>
          </w:p>
        </w:tc>
        <w:tc>
          <w:tcPr>
            <w:tcW w:type="dxa" w:w="23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140 €</w:t>
            </w:r>
          </w:p>
        </w:tc>
        <w:tc>
          <w:tcPr>
            <w:tcW w:type="dxa" w:w="23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150 €</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Revenu annuel récurrent (ARR)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 39 k€</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 200 k€</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 630 k€</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Coûts (dev, HDS, support)</w:t>
            </w:r>
          </w:p>
        </w:tc>
        <w:tc>
          <w:tcPr>
            <w:tcW w:type="dxa" w:w="23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 120 k€</w:t>
            </w:r>
          </w:p>
        </w:tc>
        <w:tc>
          <w:tcPr>
            <w:tcW w:type="dxa" w:w="23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 220 k€</w:t>
            </w:r>
          </w:p>
        </w:tc>
        <w:tc>
          <w:tcPr>
            <w:tcW w:type="dxa" w:w="23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 420 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Résultat indicatif</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négatif (amorçage)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proche équilibre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positif</w:t>
            </w:r>
          </w:p>
        </w:tc>
      </w:tr>
    </w:tbl>
    <w:p>
      <w:pPr>
        <w:spacing w:after="80"/>
      </w:pPr>
    </w:p>
    <w:p>
      <w:pPr>
        <w:spacing w:after="120" w:line="276"/>
      </w:pPr>
      <w:r>
        <w:rPr>
          <w:i/>
          <w:iCs/>
        </w:rPr>
        <w:t xml:space="preserve">La trajectoire dépend surtout de deux variables : le taux de conversion des cabinets pilotes et la capacité à démontrer un gain mesurable sur l’acceptation des devis. Ces deux indicateurs doivent être suivis dès la phase pilote.</w:t>
      </w:r>
    </w:p>
    <w:p>
      <w:pPr>
        <w:pStyle w:val="Heading1"/>
      </w:pPr>
      <w:r>
        <w:t xml:space="preserve">11. Risques et mesures de réduction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Risque</w:t>
            </w:r>
          </w:p>
        </w:tc>
        <w:tc>
          <w:tcPr>
            <w:tcW w:type="dxa" w:w="14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Niveau</w:t>
            </w:r>
          </w:p>
        </w:tc>
        <w:tc>
          <w:tcPr>
            <w:tcW w:type="dxa" w:w="45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Mesure de réduction</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Mauvaise interprétation du tableau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Élevé</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Double calcul + règles métier + validation humaine</w:t>
            </w:r>
          </w:p>
        </w:tc>
      </w:tr>
      <w:tr>
        <w:trPr>
          <w:tblHeader w:val="false"/>
        </w:trPr>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Patient croyant le remboursement garanti</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Élevé</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Mention « estimation non contractuelle » systématique</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RGPD / données de santé</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Très élevé</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Hébergement HDS, consentement, minimisation</w:t>
            </w:r>
          </w:p>
        </w:tc>
      </w:tr>
      <w:tr>
        <w:trPr>
          <w:tblHeader w:val="false"/>
        </w:trPr>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Accès aux espaces mutuelle</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Très sensible</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Reporté hors MVP, cadrage juridique préalable</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Responsabilité en cas d’estimation fausse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Important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CGU claires, validation cabinet, journalisation</w:t>
            </w:r>
          </w:p>
        </w:tc>
      </w:tr>
      <w:tr>
        <w:trPr>
          <w:tblHeader w:val="false"/>
        </w:trPr>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Mise à jour permanente des garanties</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Difficile</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Base structurée versionnée, corrections continues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Adoption par les cabinets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À tester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Pilotes mesurés, intégration au workflow existant</w:t>
            </w:r>
          </w:p>
        </w:tc>
      </w:tr>
    </w:tbl>
    <w:p>
      <w:pPr>
        <w:spacing w:after="80"/>
      </w:pPr>
    </w:p>
    <w:p>
      <w:pPr>
        <w:spacing w:after="120" w:line="276"/>
      </w:pPr>
      <w:r>
        <w:t xml:space="preserve">Le danger principal reste de promettre un remboursement exact. La discipline de langage – estimation et non garantie – est une règle produit non négociable.</w:t>
      </w:r>
    </w:p>
    <w:p>
      <w:pPr>
        <w:pStyle w:val="Heading1"/>
      </w:pPr>
      <w:r>
        <w:t xml:space="preserve">12. 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Horizon</w:t>
            </w:r>
          </w:p>
        </w:tc>
        <w:tc>
          <w:tcPr>
            <w:tcW w:type="dxa" w:w="69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sz w:val="21"/>
                <w:szCs w:val="21"/>
              </w:rPr>
              <w:t xml:space="preserve">Jalons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0 – 3 mois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MVP interne : upload, OCR, extraction dentaire, calcul, rapport patient, mentions légales</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3 – 6 mois</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Validation sur 50–100 tableaux, base de règles métier, double vérification, mesure des KPI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6 – 12 mois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Pilotes (5 cabinets), hébergement HDS, intégrations Doctolib / paiement</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12 – 24 mois</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jc w:val="left"/>
            </w:pPr>
            <w:r>
              <w:rPr>
                <w:b w:val="false"/>
                <w:bCs w:val="false"/>
                <w:color w:val="000000"/>
                <w:sz w:val="20"/>
                <w:szCs w:val="20"/>
              </w:rPr>
              <w:t xml:space="preserve">Lancement SaaS, offres packagées, support, extension optique/audio</w:t>
            </w:r>
          </w:p>
        </w:tc>
      </w:tr>
    </w:tbl>
    <w:p>
      <w:pPr>
        <w:pStyle w:val="Heading1"/>
      </w:pPr>
      <w:r>
        <w:t xml:space="preserve">13. Conclusion</w:t>
      </w:r>
    </w:p>
    <w:p>
      <w:pPr>
        <w:spacing w:after="120" w:line="276"/>
      </w:pPr>
      <w:r>
        <w:t xml:space="preserve">L’idée est forte parce qu’elle se situe à l’intersection de trois douleurs réelles : des patients perdus face à leurs garanties, des cabinets qui perdent du temps, et des devis refusés faute de clarté financière. Le piège serait de vouloir, dès le départ, une IA connectée à toutes les mutuelles qui calcule tout parfaitement.</w:t>
      </w:r>
    </w:p>
    <w:p>
      <w:pPr>
        <w:spacing w:after="120" w:line="276"/>
      </w:pPr>
      <w:r>
        <w:t xml:space="preserve">La bonne stratégie est progressive : prouver la valeur sur un usage à fort ROI (prothèse, implantologie), avec un produit fiable, conforme et honnête sur ce qu’il promet.</w:t>
      </w:r>
    </w:p>
    <w:p>
      <w:pPr>
        <w:spacing w:after="120" w:line="276"/>
      </w:pPr>
      <w:r>
        <w:rPr>
          <w:b/>
          <w:bCs/>
        </w:rPr>
        <w:t xml:space="preserve">En une phrase : </w:t>
      </w:r>
      <w:r>
        <w:t xml:space="preserve">un SaaS dentaire qui transforme les tableaux de garanties mutuelle en reste à charge clair pour le patient, afin d’aider le cabinet à présenter des devis plus clairs, plus rapides et mieux acceptés – dans le respect du cadre médical, du RGPD et de la déontologie.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Confidentiel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Assurance Maladie (ameli.fr) – « Soins dentaires : comprendre le 100 % Santé ». Couronne céramo-métallique : base de remboursement 120 €, taux Sécurité sociale 60 % en 2026, soit 72 €.</w:t>
      </w:r>
    </w:p>
  </w:footnote>
  <w:footnote w:id="2">
    <w:p>
      <w:r>
        <w:rPr>
          <w:rStyle w:val="FootnoteReference"/>
        </w:rPr>
        <w:footnoteRef/>
      </w:r>
      <w:r>
        <w:t xml:space="preserve">ameli.fr – Matériaux et actes prothétiques 100 % Santé. Depuis le 1er janvier 2026 : couronne monolithique Full Zircone (molaire) plafonnée à 453,20 € ; bridge Full Zircone 3 éléments à 1 359,60 € ; HLF revalorisés de +3 %.</w:t>
      </w:r>
    </w:p>
  </w:footnote>
  <w:footnote w:id="3">
    <w:p>
      <w:r>
        <w:rPr>
          <w:rStyle w:val="FootnoteReference"/>
        </w:rPr>
        <w:footnoteRef/>
      </w:r>
      <w:r>
        <w:t xml:space="preserve">Les implants dentaires ne sont pas pris en charge par la Sécurité sociale ; seule la couronne sur implant peut faire l’objet d’un remboursement partiel sur base conventionnelle.</w:t>
      </w:r>
    </w:p>
  </w:footnote>
  <w:footnote w:id="4">
    <w:p>
      <w:r>
        <w:rPr>
          <w:rStyle w:val="FootnoteReference"/>
        </w:rPr>
        <w:footnoteRef/>
      </w:r>
      <w:r>
        <w:t xml:space="preserve">esante.gouv.fr – Certification HDS (Hébergement de Données de Santé), adossée à l’ISO/IEC 27001 et au RGPD, obligatoire pour tout hébergeur de données de santé. Nouveau référentiel applicable au plus tard le 16 mai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B2" w:sz="4" w:space="4"/>
      </w:pBdr>
      <w:jc w:val="right"/>
    </w:pPr>
    <w:r>
      <w:rPr>
        <w:color w:val="888888"/>
        <w:sz w:val="16"/>
        <w:szCs w:val="16"/>
      </w:rPr>
      <w:t xml:space="preserve">Tableau de Garanti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643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6FB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 Tableau de Garanti</dc:title>
  <dc:creator>Tableau de Garanti</dc:creator>
  <cp:lastModifiedBy>Un-named</cp:lastModifiedBy>
  <cp:revision>1</cp:revision>
  <dcterms:created xsi:type="dcterms:W3CDTF">2026-05-28T22:20:49.949Z</dcterms:created>
  <dcterms:modified xsi:type="dcterms:W3CDTF">2026-05-28T22:20:49.949Z</dcterms:modified>
</cp:coreProperties>
</file>

<file path=docProps/custom.xml><?xml version="1.0" encoding="utf-8"?>
<Properties xmlns="http://schemas.openxmlformats.org/officeDocument/2006/custom-properties" xmlns:vt="http://schemas.openxmlformats.org/officeDocument/2006/docPropsVTypes"/>
</file>