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932" w:rsidRDefault="00607A13">
      <w:pPr>
        <w:jc w:val="center"/>
        <w:rPr>
          <w:b/>
          <w:sz w:val="20"/>
          <w:szCs w:val="20"/>
          <w:lang w:val="ro-RO"/>
        </w:rPr>
      </w:pPr>
      <w:r>
        <w:rPr>
          <w:b/>
          <w:sz w:val="20"/>
          <w:szCs w:val="20"/>
          <w:lang w:val="ro-RO"/>
        </w:rPr>
        <w:t>Facultatea de Matematică și Informatică</w:t>
      </w:r>
    </w:p>
    <w:p w:rsidR="003E4932" w:rsidRDefault="00607A13">
      <w:pPr>
        <w:jc w:val="center"/>
        <w:rPr>
          <w:b/>
          <w:sz w:val="20"/>
          <w:szCs w:val="20"/>
          <w:lang w:val="ro-RO"/>
        </w:rPr>
      </w:pPr>
      <w:r>
        <w:rPr>
          <w:b/>
          <w:sz w:val="20"/>
          <w:szCs w:val="20"/>
          <w:lang w:val="ro-RO"/>
        </w:rPr>
        <w:t>Universitatea din București</w:t>
      </w: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607A13">
      <w:pPr>
        <w:jc w:val="center"/>
        <w:rPr>
          <w:b/>
          <w:sz w:val="20"/>
          <w:szCs w:val="20"/>
          <w:lang w:val="ro-RO"/>
        </w:rPr>
      </w:pPr>
      <w:r>
        <w:rPr>
          <w:b/>
          <w:sz w:val="20"/>
          <w:szCs w:val="20"/>
          <w:lang w:val="ro-RO"/>
        </w:rPr>
        <w:t>Laborator</w:t>
      </w:r>
    </w:p>
    <w:p w:rsidR="003E4932" w:rsidRDefault="00607A13">
      <w:pPr>
        <w:jc w:val="center"/>
        <w:rPr>
          <w:b/>
          <w:sz w:val="40"/>
          <w:szCs w:val="20"/>
          <w:lang w:val="ro-RO"/>
        </w:rPr>
      </w:pPr>
      <w:r>
        <w:rPr>
          <w:b/>
          <w:sz w:val="40"/>
          <w:szCs w:val="20"/>
          <w:lang w:val="ro-RO"/>
        </w:rPr>
        <w:t>Programare orientată pe obiecte</w:t>
      </w: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607A13">
      <w:pPr>
        <w:jc w:val="center"/>
        <w:rPr>
          <w:b/>
          <w:sz w:val="28"/>
          <w:szCs w:val="20"/>
          <w:lang w:val="ro-RO"/>
        </w:rPr>
      </w:pPr>
      <w:r>
        <w:rPr>
          <w:b/>
          <w:sz w:val="28"/>
          <w:szCs w:val="20"/>
          <w:lang w:val="ro-RO"/>
        </w:rPr>
        <w:t>Proiectul 1 - Tema 3</w:t>
      </w: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3E4932">
      <w:pPr>
        <w:jc w:val="center"/>
        <w:rPr>
          <w:sz w:val="20"/>
          <w:szCs w:val="20"/>
          <w:lang w:val="ro-RO"/>
        </w:rPr>
      </w:pPr>
    </w:p>
    <w:p w:rsidR="003E4932" w:rsidRDefault="00607A13">
      <w:pPr>
        <w:jc w:val="center"/>
        <w:rPr>
          <w:b/>
          <w:sz w:val="20"/>
          <w:szCs w:val="20"/>
          <w:lang w:val="ro-RO"/>
        </w:rPr>
      </w:pPr>
      <w:r>
        <w:rPr>
          <w:b/>
          <w:sz w:val="20"/>
          <w:szCs w:val="20"/>
          <w:lang w:val="ro-RO"/>
        </w:rPr>
        <w:t>Ș</w:t>
      </w:r>
      <w:r>
        <w:rPr>
          <w:b/>
          <w:sz w:val="20"/>
          <w:szCs w:val="20"/>
          <w:lang w:val="ro-RO"/>
        </w:rPr>
        <w:t>tefan Râpeanu-Andreescu</w:t>
      </w:r>
    </w:p>
    <w:p w:rsidR="003E4932" w:rsidRDefault="003E4932">
      <w:pPr>
        <w:jc w:val="center"/>
        <w:rPr>
          <w:sz w:val="20"/>
          <w:szCs w:val="20"/>
          <w:lang w:val="ro-RO"/>
        </w:rPr>
      </w:pPr>
    </w:p>
    <w:tbl>
      <w:tblPr>
        <w:tblStyle w:val="TableGrid"/>
        <w:tblW w:w="9400" w:type="dxa"/>
        <w:tblLayout w:type="fixed"/>
        <w:tblLook w:val="04A0" w:firstRow="1" w:lastRow="0" w:firstColumn="1" w:lastColumn="0" w:noHBand="0" w:noVBand="1"/>
      </w:tblPr>
      <w:tblGrid>
        <w:gridCol w:w="851"/>
        <w:gridCol w:w="427"/>
        <w:gridCol w:w="8122"/>
      </w:tblGrid>
      <w:tr w:rsidR="003E4932">
        <w:trPr>
          <w:trHeight w:val="216"/>
        </w:trPr>
        <w:tc>
          <w:tcPr>
            <w:tcW w:w="1278" w:type="dxa"/>
            <w:gridSpan w:val="2"/>
            <w:shd w:val="clear" w:color="auto" w:fill="538135" w:themeFill="accent6" w:themeFillShade="BF"/>
            <w:vAlign w:val="center"/>
          </w:tcPr>
          <w:p w:rsidR="003E4932" w:rsidRDefault="00607A13">
            <w:pPr>
              <w:jc w:val="center"/>
              <w:rPr>
                <w:b/>
                <w:color w:val="FFFFFF" w:themeColor="background1"/>
                <w:sz w:val="24"/>
                <w:szCs w:val="20"/>
                <w:lang w:val="ro-RO"/>
              </w:rPr>
            </w:pPr>
            <w:r>
              <w:rPr>
                <w:b/>
                <w:color w:val="FFFFFF" w:themeColor="background1"/>
                <w:sz w:val="24"/>
                <w:szCs w:val="20"/>
                <w:lang w:val="ro-RO"/>
              </w:rPr>
              <w:t>Tema 3</w:t>
            </w:r>
          </w:p>
        </w:tc>
        <w:tc>
          <w:tcPr>
            <w:tcW w:w="8122" w:type="dxa"/>
            <w:shd w:val="clear" w:color="auto" w:fill="C00000"/>
            <w:vAlign w:val="center"/>
          </w:tcPr>
          <w:p w:rsidR="003E4932" w:rsidRDefault="00607A13">
            <w:pPr>
              <w:jc w:val="center"/>
              <w:rPr>
                <w:b/>
                <w:color w:val="FFFFFF" w:themeColor="background1"/>
                <w:sz w:val="24"/>
                <w:szCs w:val="20"/>
                <w:lang w:val="ro-RO"/>
              </w:rPr>
            </w:pPr>
            <w:r>
              <w:rPr>
                <w:b/>
                <w:color w:val="FFFFFF" w:themeColor="background1"/>
                <w:sz w:val="24"/>
                <w:szCs w:val="20"/>
                <w:lang w:val="ro-RO"/>
              </w:rPr>
              <w:t>Număr întreg mare</w:t>
            </w:r>
          </w:p>
        </w:tc>
      </w:tr>
      <w:tr w:rsidR="003E4932">
        <w:trPr>
          <w:trHeight w:val="182"/>
        </w:trPr>
        <w:tc>
          <w:tcPr>
            <w:tcW w:w="851" w:type="dxa"/>
            <w:shd w:val="clear" w:color="auto" w:fill="7030A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1.4 p</w:t>
            </w:r>
          </w:p>
        </w:tc>
        <w:tc>
          <w:tcPr>
            <w:tcW w:w="8549" w:type="dxa"/>
            <w:gridSpan w:val="2"/>
            <w:shd w:val="clear" w:color="auto" w:fill="00206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 xml:space="preserve">Toate cerințele </w:t>
            </w:r>
            <w:r>
              <w:rPr>
                <w:b/>
                <w:color w:val="FFFFFF" w:themeColor="background1"/>
                <w:sz w:val="20"/>
                <w:szCs w:val="20"/>
                <w:lang w:val="ro-RO"/>
              </w:rPr>
              <w:t>generale, valabile pentru toate temele</w:t>
            </w:r>
          </w:p>
        </w:tc>
      </w:tr>
      <w:tr w:rsidR="003E4932">
        <w:trPr>
          <w:trHeight w:val="182"/>
        </w:trPr>
        <w:tc>
          <w:tcPr>
            <w:tcW w:w="851" w:type="dxa"/>
            <w:shd w:val="clear" w:color="auto" w:fill="00B0F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0.8 p</w:t>
            </w:r>
          </w:p>
        </w:tc>
        <w:tc>
          <w:tcPr>
            <w:tcW w:w="8549" w:type="dxa"/>
            <w:gridSpan w:val="2"/>
            <w:shd w:val="clear" w:color="auto" w:fill="0070C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Respectarea unor standarde de codare</w:t>
            </w:r>
          </w:p>
        </w:tc>
      </w:tr>
      <w:tr w:rsidR="003E4932">
        <w:trPr>
          <w:trHeight w:val="356"/>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 xml:space="preserve">Scrierea declarației clasei într-un fișier header cu extensia hpp și scrierea definiției metodelor clasei și a funcțiilor prieten într-un fișier sursă cu extensia </w:t>
            </w:r>
            <w:r>
              <w:rPr>
                <w:sz w:val="20"/>
                <w:szCs w:val="20"/>
                <w:lang w:val="ro-RO"/>
              </w:rPr>
              <w:t>cpp.</w:t>
            </w:r>
          </w:p>
        </w:tc>
      </w:tr>
      <w:tr w:rsidR="003E4932">
        <w:trPr>
          <w:trHeight w:val="182"/>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Denumirea fișierului header și a fișierului sursă cu numele clasei pe care o conțin.</w:t>
            </w:r>
          </w:p>
        </w:tc>
      </w:tr>
      <w:tr w:rsidR="003E4932">
        <w:trPr>
          <w:trHeight w:val="879"/>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Utilizarea consistentă a unei convenții de denumire a atributelor clasei care să ajute la ușoara identificare a acestora în cod. Convenția utilizată</w:t>
            </w:r>
            <w:r>
              <w:rPr>
                <w:sz w:val="20"/>
                <w:szCs w:val="20"/>
                <w:lang w:val="ro-RO"/>
              </w:rPr>
              <w:t xml:space="preserve"> poate fi oricare dintre următoarele:</w:t>
            </w:r>
          </w:p>
          <w:p w:rsidR="003E4932" w:rsidRDefault="00607A13">
            <w:pPr>
              <w:rPr>
                <w:sz w:val="20"/>
                <w:szCs w:val="20"/>
                <w:lang w:val="ro-RO"/>
              </w:rPr>
            </w:pPr>
            <w:r>
              <w:rPr>
                <w:sz w:val="20"/>
                <w:szCs w:val="20"/>
                <w:lang w:val="ro-RO"/>
              </w:rPr>
              <w:t>- "m_" urmat de denumirea atributului, care să înceapă cu literă mică (Ex: m_attribute);</w:t>
            </w:r>
          </w:p>
          <w:p w:rsidR="003E4932" w:rsidRDefault="00607A13">
            <w:pPr>
              <w:rPr>
                <w:sz w:val="20"/>
                <w:szCs w:val="20"/>
                <w:lang w:val="ro-RO"/>
              </w:rPr>
            </w:pPr>
            <w:r>
              <w:rPr>
                <w:sz w:val="20"/>
                <w:szCs w:val="20"/>
                <w:lang w:val="ro-RO"/>
              </w:rPr>
              <w:lastRenderedPageBreak/>
              <w:t>- "_" urmat de denumirea atributului, care să înceapă cu literă mică (Ex: _attribute);</w:t>
            </w:r>
          </w:p>
          <w:p w:rsidR="003E4932" w:rsidRDefault="00607A13">
            <w:pPr>
              <w:rPr>
                <w:sz w:val="20"/>
                <w:szCs w:val="20"/>
                <w:lang w:val="ro-RO"/>
              </w:rPr>
            </w:pPr>
            <w:r>
              <w:rPr>
                <w:sz w:val="20"/>
                <w:szCs w:val="20"/>
                <w:lang w:val="ro-RO"/>
              </w:rPr>
              <w:t>- "m" urmat de denumirea atributului, care</w:t>
            </w:r>
            <w:r>
              <w:rPr>
                <w:sz w:val="20"/>
                <w:szCs w:val="20"/>
                <w:lang w:val="ro-RO"/>
              </w:rPr>
              <w:t xml:space="preserve"> să înceapă cu literă mare (Ex: mAttribute).</w:t>
            </w:r>
          </w:p>
        </w:tc>
      </w:tr>
      <w:tr w:rsidR="003E4932">
        <w:trPr>
          <w:trHeight w:val="879"/>
        </w:trPr>
        <w:tc>
          <w:tcPr>
            <w:tcW w:w="851" w:type="dxa"/>
            <w:vAlign w:val="center"/>
          </w:tcPr>
          <w:p w:rsidR="003E4932" w:rsidRDefault="00607A13">
            <w:pPr>
              <w:jc w:val="center"/>
              <w:rPr>
                <w:sz w:val="20"/>
                <w:szCs w:val="20"/>
                <w:lang w:val="ro-RO"/>
              </w:rPr>
            </w:pPr>
            <w:r>
              <w:rPr>
                <w:sz w:val="20"/>
                <w:szCs w:val="20"/>
                <w:lang w:val="ro-RO"/>
              </w:rPr>
              <w:lastRenderedPageBreak/>
              <w:t>0.1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Utilizarea consistentă a unei convenții de denumire a atributelor, respectiv a funcțiilor. Convenția utilizată poate fi oricare dintre următoarele:</w:t>
            </w:r>
          </w:p>
          <w:p w:rsidR="003E4932" w:rsidRDefault="00607A13">
            <w:pPr>
              <w:rPr>
                <w:sz w:val="20"/>
                <w:szCs w:val="20"/>
                <w:lang w:val="ro-RO"/>
              </w:rPr>
            </w:pPr>
            <w:r>
              <w:rPr>
                <w:sz w:val="20"/>
                <w:szCs w:val="20"/>
                <w:lang w:val="ro-RO"/>
              </w:rPr>
              <w:t xml:space="preserve">- Pascal Case: (Ex: LongFunctionName, </w:t>
            </w:r>
            <w:r>
              <w:rPr>
                <w:sz w:val="20"/>
                <w:szCs w:val="20"/>
                <w:lang w:val="ro-RO"/>
              </w:rPr>
              <w:t>LongAttributeName);</w:t>
            </w:r>
          </w:p>
          <w:p w:rsidR="003E4932" w:rsidRDefault="00607A13">
            <w:pPr>
              <w:rPr>
                <w:sz w:val="20"/>
                <w:szCs w:val="20"/>
                <w:lang w:val="ro-RO"/>
              </w:rPr>
            </w:pPr>
            <w:r>
              <w:rPr>
                <w:sz w:val="20"/>
                <w:szCs w:val="20"/>
                <w:lang w:val="ro-RO"/>
              </w:rPr>
              <w:t>- Camel Case: (Ex: longFunctionName, longAttributeName);</w:t>
            </w:r>
          </w:p>
          <w:p w:rsidR="003E4932" w:rsidRDefault="00607A13">
            <w:pPr>
              <w:rPr>
                <w:sz w:val="20"/>
                <w:szCs w:val="20"/>
                <w:lang w:val="ro-RO"/>
              </w:rPr>
            </w:pPr>
            <w:r>
              <w:rPr>
                <w:sz w:val="20"/>
                <w:szCs w:val="20"/>
                <w:lang w:val="ro-RO"/>
              </w:rPr>
              <w:t>- Snake Case: (Ex: long_function_name, long_attribute_name).</w:t>
            </w:r>
          </w:p>
        </w:tc>
      </w:tr>
      <w:tr w:rsidR="003E4932">
        <w:trPr>
          <w:trHeight w:val="182"/>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Indentarea corectă și consistentă a codului.</w:t>
            </w:r>
          </w:p>
        </w:tc>
      </w:tr>
      <w:tr w:rsidR="003E4932">
        <w:trPr>
          <w:trHeight w:val="182"/>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3E4932">
            <w:pPr>
              <w:jc w:val="center"/>
              <w:rPr>
                <w:sz w:val="20"/>
                <w:szCs w:val="20"/>
                <w:lang w:val="ro-RO"/>
              </w:rPr>
            </w:pPr>
          </w:p>
        </w:tc>
        <w:tc>
          <w:tcPr>
            <w:tcW w:w="8122" w:type="dxa"/>
            <w:vAlign w:val="center"/>
          </w:tcPr>
          <w:p w:rsidR="003E4932" w:rsidRDefault="00607A13">
            <w:pPr>
              <w:rPr>
                <w:sz w:val="20"/>
                <w:szCs w:val="20"/>
                <w:lang w:val="ro-RO"/>
              </w:rPr>
            </w:pPr>
            <w:r>
              <w:rPr>
                <w:sz w:val="20"/>
                <w:szCs w:val="20"/>
                <w:lang w:val="ro-RO"/>
              </w:rPr>
              <w:t>Utilizarea unor nume sugestive pentru variabile și funcț</w:t>
            </w:r>
            <w:r>
              <w:rPr>
                <w:sz w:val="20"/>
                <w:szCs w:val="20"/>
                <w:lang w:val="ro-RO"/>
              </w:rPr>
              <w:t>ii în locul unora generice.</w:t>
            </w:r>
          </w:p>
        </w:tc>
      </w:tr>
      <w:tr w:rsidR="003E4932">
        <w:trPr>
          <w:trHeight w:val="1576"/>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Respectarea ordinii declarațiilor în clasă. Mai întâi membrii cu access public, apoi cei cu acces protected și apoi cei cu acces private. Pentru fiecare dintre aceste trei secțiuni ordinea trebuie să fie:</w:t>
            </w:r>
          </w:p>
          <w:p w:rsidR="003E4932" w:rsidRDefault="00607A13">
            <w:pPr>
              <w:rPr>
                <w:sz w:val="20"/>
                <w:szCs w:val="20"/>
                <w:lang w:val="ro-RO"/>
              </w:rPr>
            </w:pPr>
            <w:r>
              <w:rPr>
                <w:sz w:val="20"/>
                <w:szCs w:val="20"/>
                <w:lang w:val="ro-RO"/>
              </w:rPr>
              <w:t>- Definiții de</w:t>
            </w:r>
            <w:r>
              <w:rPr>
                <w:sz w:val="20"/>
                <w:szCs w:val="20"/>
                <w:lang w:val="ro-RO"/>
              </w:rPr>
              <w:t xml:space="preserve"> tipuri și enumerări;</w:t>
            </w:r>
          </w:p>
          <w:p w:rsidR="003E4932" w:rsidRDefault="00607A13">
            <w:pPr>
              <w:rPr>
                <w:sz w:val="20"/>
                <w:szCs w:val="20"/>
                <w:lang w:val="ro-RO"/>
              </w:rPr>
            </w:pPr>
            <w:r>
              <w:rPr>
                <w:sz w:val="20"/>
                <w:szCs w:val="20"/>
                <w:lang w:val="ro-RO"/>
              </w:rPr>
              <w:t>- Atribute constante ale clasei;</w:t>
            </w:r>
          </w:p>
          <w:p w:rsidR="003E4932" w:rsidRDefault="00607A13">
            <w:pPr>
              <w:rPr>
                <w:sz w:val="20"/>
                <w:szCs w:val="20"/>
                <w:lang w:val="ro-RO"/>
              </w:rPr>
            </w:pPr>
            <w:r>
              <w:rPr>
                <w:sz w:val="20"/>
                <w:szCs w:val="20"/>
                <w:lang w:val="ro-RO"/>
              </w:rPr>
              <w:t>- Constructori;</w:t>
            </w:r>
          </w:p>
          <w:p w:rsidR="003E4932" w:rsidRDefault="00607A13">
            <w:pPr>
              <w:rPr>
                <w:sz w:val="20"/>
                <w:szCs w:val="20"/>
                <w:lang w:val="ro-RO"/>
              </w:rPr>
            </w:pPr>
            <w:r>
              <w:rPr>
                <w:sz w:val="20"/>
                <w:szCs w:val="20"/>
                <w:lang w:val="ro-RO"/>
              </w:rPr>
              <w:t>- Destructori;</w:t>
            </w:r>
          </w:p>
          <w:p w:rsidR="003E4932" w:rsidRDefault="00607A13">
            <w:pPr>
              <w:rPr>
                <w:sz w:val="20"/>
                <w:szCs w:val="20"/>
                <w:lang w:val="ro-RO"/>
              </w:rPr>
            </w:pPr>
            <w:r>
              <w:rPr>
                <w:sz w:val="20"/>
                <w:szCs w:val="20"/>
                <w:lang w:val="ro-RO"/>
              </w:rPr>
              <w:t>- Metode;</w:t>
            </w:r>
          </w:p>
          <w:p w:rsidR="003E4932" w:rsidRDefault="00607A13">
            <w:pPr>
              <w:rPr>
                <w:sz w:val="20"/>
                <w:szCs w:val="20"/>
                <w:lang w:val="ro-RO"/>
              </w:rPr>
            </w:pPr>
            <w:r>
              <w:rPr>
                <w:sz w:val="20"/>
                <w:szCs w:val="20"/>
                <w:lang w:val="ro-RO"/>
              </w:rPr>
              <w:t>- Atribute neconstante ale clasei.</w:t>
            </w:r>
          </w:p>
        </w:tc>
      </w:tr>
      <w:tr w:rsidR="003E4932">
        <w:trPr>
          <w:trHeight w:val="530"/>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 xml:space="preserve">Utilizarea unei singure limbi pentru scrierea codului. Este preferabilă limba engleză, deoarece cuvintele cheie ale </w:t>
            </w:r>
            <w:r>
              <w:rPr>
                <w:sz w:val="20"/>
                <w:szCs w:val="20"/>
                <w:lang w:val="ro-RO"/>
              </w:rPr>
              <w:t>limbajului sunt în limba engleză și se păstrează o consistență a codului în acest fel.</w:t>
            </w:r>
          </w:p>
        </w:tc>
      </w:tr>
      <w:tr w:rsidR="003E4932">
        <w:trPr>
          <w:trHeight w:val="182"/>
        </w:trPr>
        <w:tc>
          <w:tcPr>
            <w:tcW w:w="851" w:type="dxa"/>
            <w:shd w:val="clear" w:color="auto" w:fill="00B0F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0.6 p</w:t>
            </w:r>
          </w:p>
        </w:tc>
        <w:tc>
          <w:tcPr>
            <w:tcW w:w="8549" w:type="dxa"/>
            <w:gridSpan w:val="2"/>
            <w:shd w:val="clear" w:color="auto" w:fill="0070C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Versionarea codului</w:t>
            </w:r>
          </w:p>
        </w:tc>
      </w:tr>
      <w:tr w:rsidR="003E4932">
        <w:trPr>
          <w:trHeight w:val="182"/>
        </w:trPr>
        <w:tc>
          <w:tcPr>
            <w:tcW w:w="851" w:type="dxa"/>
            <w:vAlign w:val="center"/>
          </w:tcPr>
          <w:p w:rsidR="003E4932" w:rsidRDefault="00607A13">
            <w:pPr>
              <w:jc w:val="center"/>
              <w:rPr>
                <w:sz w:val="20"/>
                <w:szCs w:val="20"/>
                <w:lang w:val="ro-RO"/>
              </w:rPr>
            </w:pPr>
            <w:r>
              <w:rPr>
                <w:sz w:val="20"/>
                <w:szCs w:val="20"/>
                <w:lang w:val="ro-RO"/>
              </w:rPr>
              <w:t>0.5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Versionarea codului pe GitHub.</w:t>
            </w:r>
          </w:p>
        </w:tc>
      </w:tr>
      <w:tr w:rsidR="003E4932">
        <w:trPr>
          <w:trHeight w:val="182"/>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Utilizarea unor mesaje sugestive pentru modificările făcute într-un commit.</w:t>
            </w:r>
          </w:p>
        </w:tc>
      </w:tr>
      <w:tr w:rsidR="003E4932">
        <w:trPr>
          <w:trHeight w:val="182"/>
        </w:trPr>
        <w:tc>
          <w:tcPr>
            <w:tcW w:w="851" w:type="dxa"/>
            <w:shd w:val="clear" w:color="auto" w:fill="7030A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9.55 p</w:t>
            </w:r>
          </w:p>
        </w:tc>
        <w:tc>
          <w:tcPr>
            <w:tcW w:w="8549" w:type="dxa"/>
            <w:gridSpan w:val="2"/>
            <w:shd w:val="clear" w:color="auto" w:fill="00206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 xml:space="preserve">Toate </w:t>
            </w:r>
            <w:r>
              <w:rPr>
                <w:b/>
                <w:color w:val="FFFFFF" w:themeColor="background1"/>
                <w:sz w:val="20"/>
                <w:szCs w:val="20"/>
                <w:lang w:val="ro-RO"/>
              </w:rPr>
              <w:t>cerințele individuale ale temei</w:t>
            </w:r>
          </w:p>
        </w:tc>
      </w:tr>
      <w:tr w:rsidR="003E4932">
        <w:trPr>
          <w:trHeight w:val="243"/>
        </w:trPr>
        <w:tc>
          <w:tcPr>
            <w:tcW w:w="851" w:type="dxa"/>
            <w:shd w:val="clear" w:color="auto" w:fill="00B0F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0.6 p</w:t>
            </w:r>
          </w:p>
        </w:tc>
        <w:tc>
          <w:tcPr>
            <w:tcW w:w="8549" w:type="dxa"/>
            <w:gridSpan w:val="2"/>
            <w:shd w:val="clear" w:color="auto" w:fill="0070C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Atributele clasei și metodele care permit accesul la acestea</w:t>
            </w:r>
          </w:p>
        </w:tc>
      </w:tr>
      <w:tr w:rsidR="003E4932">
        <w:trPr>
          <w:trHeight w:val="182"/>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Implementarea unui atribut privat de tip std::vector&lt;char&gt; pentru stocarea cifrelor numărului.</w:t>
            </w:r>
          </w:p>
        </w:tc>
      </w:tr>
      <w:tr w:rsidR="003E4932">
        <w:trPr>
          <w:trHeight w:val="182"/>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 xml:space="preserve">Implementarea unui atribut privat pentru </w:t>
            </w:r>
            <w:r>
              <w:rPr>
                <w:sz w:val="20"/>
                <w:szCs w:val="20"/>
                <w:lang w:val="ro-RO"/>
              </w:rPr>
              <w:t>stocarea semnului numărului.</w:t>
            </w:r>
          </w:p>
        </w:tc>
      </w:tr>
      <w:tr w:rsidR="003E4932">
        <w:trPr>
          <w:trHeight w:val="182"/>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Implementarea unui atribut privat pentru stocarea bazei numărului.</w:t>
            </w:r>
          </w:p>
        </w:tc>
      </w:tr>
      <w:tr w:rsidR="003E4932">
        <w:trPr>
          <w:trHeight w:val="182"/>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Implementarea unei metode publice pentru furnizarea bazei numărului.</w:t>
            </w:r>
          </w:p>
        </w:tc>
      </w:tr>
      <w:tr w:rsidR="003E4932">
        <w:trPr>
          <w:trHeight w:val="182"/>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 xml:space="preserve">Implementarea unei metode publice pentru furnizarea semnului </w:t>
            </w:r>
            <w:r>
              <w:rPr>
                <w:sz w:val="20"/>
                <w:szCs w:val="20"/>
                <w:lang w:val="ro-RO"/>
              </w:rPr>
              <w:t>numărului.</w:t>
            </w:r>
          </w:p>
        </w:tc>
      </w:tr>
      <w:tr w:rsidR="003E4932">
        <w:trPr>
          <w:trHeight w:val="182"/>
        </w:trPr>
        <w:tc>
          <w:tcPr>
            <w:tcW w:w="851" w:type="dxa"/>
            <w:shd w:val="clear" w:color="auto" w:fill="00B0F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lastRenderedPageBreak/>
              <w:t>1  p</w:t>
            </w:r>
          </w:p>
        </w:tc>
        <w:tc>
          <w:tcPr>
            <w:tcW w:w="8549" w:type="dxa"/>
            <w:gridSpan w:val="2"/>
            <w:shd w:val="clear" w:color="auto" w:fill="0070C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Constructori și destructori</w:t>
            </w:r>
          </w:p>
        </w:tc>
      </w:tr>
      <w:tr w:rsidR="003E4932">
        <w:trPr>
          <w:trHeight w:val="530"/>
        </w:trPr>
        <w:tc>
          <w:tcPr>
            <w:tcW w:w="851" w:type="dxa"/>
            <w:vAlign w:val="center"/>
          </w:tcPr>
          <w:p w:rsidR="003E4932" w:rsidRDefault="00607A13">
            <w:pPr>
              <w:jc w:val="center"/>
              <w:rPr>
                <w:sz w:val="20"/>
                <w:szCs w:val="20"/>
                <w:lang w:val="ro-RO"/>
              </w:rPr>
            </w:pPr>
            <w:r>
              <w:rPr>
                <w:sz w:val="20"/>
                <w:szCs w:val="20"/>
                <w:lang w:val="ro-RO"/>
              </w:rPr>
              <w:t>0.5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 xml:space="preserve">Implementarea unui constructor parametrizat cu valori implicite pentru parametri. Numărul întreg mare implicit va fi considerat ca fiind 0 în baza 10, iar constructorul trebuie să îndeplinească această </w:t>
            </w:r>
            <w:r>
              <w:rPr>
                <w:sz w:val="20"/>
                <w:szCs w:val="20"/>
                <w:lang w:val="ro-RO"/>
              </w:rPr>
              <w:t>cerință.</w:t>
            </w:r>
          </w:p>
        </w:tc>
      </w:tr>
      <w:tr w:rsidR="003E4932">
        <w:trPr>
          <w:trHeight w:val="530"/>
        </w:trPr>
        <w:tc>
          <w:tcPr>
            <w:tcW w:w="851" w:type="dxa"/>
            <w:vAlign w:val="center"/>
          </w:tcPr>
          <w:p w:rsidR="003E4932" w:rsidRDefault="00607A13">
            <w:pPr>
              <w:jc w:val="center"/>
              <w:rPr>
                <w:sz w:val="20"/>
                <w:szCs w:val="20"/>
                <w:lang w:val="ro-RO"/>
              </w:rPr>
            </w:pPr>
            <w:r>
              <w:rPr>
                <w:sz w:val="20"/>
                <w:szCs w:val="20"/>
                <w:lang w:val="ro-RO"/>
              </w:rPr>
              <w:t>0.5 p</w:t>
            </w:r>
          </w:p>
        </w:tc>
        <w:tc>
          <w:tcPr>
            <w:tcW w:w="427" w:type="dxa"/>
            <w:vAlign w:val="center"/>
          </w:tcPr>
          <w:p w:rsidR="003E4932" w:rsidRDefault="00607A13">
            <w:pPr>
              <w:jc w:val="center"/>
              <w:rPr>
                <w:sz w:val="20"/>
                <w:szCs w:val="20"/>
              </w:rPr>
            </w:pPr>
            <w:r>
              <w:rPr>
                <w:sz w:val="20"/>
                <w:szCs w:val="20"/>
              </w:rPr>
              <w:t>x</w:t>
            </w:r>
          </w:p>
        </w:tc>
        <w:tc>
          <w:tcPr>
            <w:tcW w:w="8122" w:type="dxa"/>
            <w:vAlign w:val="center"/>
          </w:tcPr>
          <w:p w:rsidR="003E4932" w:rsidRDefault="00607A13">
            <w:pPr>
              <w:rPr>
                <w:sz w:val="20"/>
                <w:szCs w:val="20"/>
                <w:lang w:val="ro-RO"/>
              </w:rPr>
            </w:pPr>
            <w:r>
              <w:rPr>
                <w:sz w:val="20"/>
                <w:szCs w:val="20"/>
                <w:lang w:val="ro-RO"/>
              </w:rPr>
              <w:t>Implementarea unui constructor parametrizat care să primească ca parametru un număr întreg sub formă de std::string și să construiască obiectul pe baza acestuia. Baza va fi considerată implicit ca fiind 10.</w:t>
            </w:r>
          </w:p>
        </w:tc>
      </w:tr>
      <w:tr w:rsidR="003E4932">
        <w:trPr>
          <w:trHeight w:val="182"/>
        </w:trPr>
        <w:tc>
          <w:tcPr>
            <w:tcW w:w="851" w:type="dxa"/>
            <w:shd w:val="clear" w:color="auto" w:fill="00B0F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3.2 p</w:t>
            </w:r>
          </w:p>
        </w:tc>
        <w:tc>
          <w:tcPr>
            <w:tcW w:w="8549" w:type="dxa"/>
            <w:gridSpan w:val="2"/>
            <w:shd w:val="clear" w:color="auto" w:fill="0070C0"/>
            <w:vAlign w:val="center"/>
          </w:tcPr>
          <w:p w:rsidR="003E4932" w:rsidRDefault="00607A13">
            <w:pPr>
              <w:jc w:val="center"/>
              <w:rPr>
                <w:b/>
                <w:sz w:val="20"/>
                <w:szCs w:val="20"/>
                <w:lang w:val="ro-RO"/>
              </w:rPr>
            </w:pPr>
            <w:r>
              <w:rPr>
                <w:b/>
                <w:color w:val="FFFFFF" w:themeColor="background1"/>
                <w:sz w:val="20"/>
                <w:szCs w:val="20"/>
                <w:lang w:val="ro-RO"/>
              </w:rPr>
              <w:t xml:space="preserve">Supraîncărcarea </w:t>
            </w:r>
            <w:r>
              <w:rPr>
                <w:b/>
                <w:color w:val="FFFFFF" w:themeColor="background1"/>
                <w:sz w:val="20"/>
                <w:szCs w:val="20"/>
                <w:lang w:val="ro-RO"/>
              </w:rPr>
              <w:t>operatorilor compuși de atribuire</w:t>
            </w:r>
          </w:p>
        </w:tc>
      </w:tr>
      <w:tr w:rsidR="003E4932">
        <w:trPr>
          <w:trHeight w:val="356"/>
        </w:trPr>
        <w:tc>
          <w:tcPr>
            <w:tcW w:w="851" w:type="dxa"/>
            <w:vAlign w:val="center"/>
          </w:tcPr>
          <w:p w:rsidR="003E4932" w:rsidRDefault="00607A13">
            <w:pPr>
              <w:jc w:val="center"/>
              <w:rPr>
                <w:sz w:val="20"/>
                <w:szCs w:val="20"/>
                <w:lang w:val="ro-RO"/>
              </w:rPr>
            </w:pPr>
            <w:r>
              <w:rPr>
                <w:sz w:val="20"/>
                <w:szCs w:val="20"/>
                <w:lang w:val="ro-RO"/>
              </w:rPr>
              <w:t>0.8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 xml:space="preserve">Supraîncărcarea operatorului binar += ca metodă publică a clasei, care realizează operația de adunare a două numere întregi mari, urmată de atribuirea rezultatului operandului stâng și returnarea unei referințe la </w:t>
            </w:r>
            <w:r>
              <w:rPr>
                <w:sz w:val="20"/>
                <w:szCs w:val="20"/>
                <w:lang w:val="ro-RO"/>
              </w:rPr>
              <w:t>operandul stâng. Operatorul trebuie scris în două variante pentru a putea funcționa cu operanzi de tipul (BigInteger, BigInteger) și (BigInteger, int).</w:t>
            </w:r>
          </w:p>
        </w:tc>
      </w:tr>
      <w:tr w:rsidR="003E4932">
        <w:trPr>
          <w:trHeight w:val="705"/>
        </w:trPr>
        <w:tc>
          <w:tcPr>
            <w:tcW w:w="851" w:type="dxa"/>
            <w:vAlign w:val="center"/>
          </w:tcPr>
          <w:p w:rsidR="003E4932" w:rsidRDefault="00607A13">
            <w:pPr>
              <w:jc w:val="center"/>
              <w:rPr>
                <w:sz w:val="20"/>
                <w:szCs w:val="20"/>
                <w:lang w:val="ro-RO"/>
              </w:rPr>
            </w:pPr>
            <w:r>
              <w:rPr>
                <w:sz w:val="20"/>
                <w:szCs w:val="20"/>
                <w:lang w:val="ro-RO"/>
              </w:rPr>
              <w:t>0.8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 xml:space="preserve">Supraîncărcarea operatorului binar -= ca metodă publică a clasei, care realizează operația de </w:t>
            </w:r>
            <w:r>
              <w:rPr>
                <w:sz w:val="20"/>
                <w:szCs w:val="20"/>
                <w:lang w:val="ro-RO"/>
              </w:rPr>
              <w:t>scădere a două numere întregi mari, urmată de atribuirea rezultatului operandului stâng și returnarea unei referințe la operandul stâng. Operatorul trebuie scris în două variante pentru a putea funcționa cu operanzi de tipul (BigInteger, BigInteger) și (Bi</w:t>
            </w:r>
            <w:r>
              <w:rPr>
                <w:sz w:val="20"/>
                <w:szCs w:val="20"/>
                <w:lang w:val="ro-RO"/>
              </w:rPr>
              <w:t>gInteger, int).</w:t>
            </w:r>
          </w:p>
        </w:tc>
      </w:tr>
      <w:tr w:rsidR="003E4932">
        <w:trPr>
          <w:trHeight w:val="705"/>
        </w:trPr>
        <w:tc>
          <w:tcPr>
            <w:tcW w:w="851" w:type="dxa"/>
            <w:vAlign w:val="center"/>
          </w:tcPr>
          <w:p w:rsidR="003E4932" w:rsidRDefault="00607A13">
            <w:pPr>
              <w:jc w:val="center"/>
              <w:rPr>
                <w:sz w:val="20"/>
                <w:szCs w:val="20"/>
                <w:lang w:val="ro-RO"/>
              </w:rPr>
            </w:pPr>
            <w:r>
              <w:rPr>
                <w:sz w:val="20"/>
                <w:szCs w:val="20"/>
                <w:lang w:val="ro-RO"/>
              </w:rPr>
              <w:t>0.8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Supraîncărcarea operatorului binar *= ca metodă publică a clasei, care realizează operația de înmulțire a două numere întregi mari, urmată de atribuirea rezultatului operandului stâng și returnarea unei referințe la operandul stâng.</w:t>
            </w:r>
            <w:r>
              <w:rPr>
                <w:sz w:val="20"/>
                <w:szCs w:val="20"/>
                <w:lang w:val="ro-RO"/>
              </w:rPr>
              <w:t xml:space="preserve"> Operatorul trebuie scris în două variante pentru a putea funcționa cu operanzi de tipul (BigInteger, BigInteger) și (BigInteger, int).</w:t>
            </w:r>
          </w:p>
        </w:tc>
      </w:tr>
      <w:tr w:rsidR="003E4932">
        <w:trPr>
          <w:trHeight w:val="705"/>
        </w:trPr>
        <w:tc>
          <w:tcPr>
            <w:tcW w:w="851" w:type="dxa"/>
            <w:vAlign w:val="center"/>
          </w:tcPr>
          <w:p w:rsidR="003E4932" w:rsidRDefault="00607A13">
            <w:pPr>
              <w:jc w:val="center"/>
              <w:rPr>
                <w:sz w:val="20"/>
                <w:szCs w:val="20"/>
                <w:lang w:val="ro-RO"/>
              </w:rPr>
            </w:pPr>
            <w:r>
              <w:rPr>
                <w:sz w:val="20"/>
                <w:szCs w:val="20"/>
                <w:lang w:val="ro-RO"/>
              </w:rPr>
              <w:t>0.8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Supraîncărcarea operatorului binar /= ca metodă publică a clasei, care realizează operația de împărțire a două n</w:t>
            </w:r>
            <w:r>
              <w:rPr>
                <w:sz w:val="20"/>
                <w:szCs w:val="20"/>
                <w:lang w:val="ro-RO"/>
              </w:rPr>
              <w:t>umere întregi mari, urmată de atribuirea rezultatului operandului stâng și returnarea unei referințe la operandul stâng. Operatorul trebuie scris în două variante pentru a putea funcționa cu operanzi de tipul (BigInteger, BigInteger) și (BigInteger, int).</w:t>
            </w:r>
          </w:p>
        </w:tc>
      </w:tr>
      <w:tr w:rsidR="003E4932">
        <w:trPr>
          <w:trHeight w:val="182"/>
        </w:trPr>
        <w:tc>
          <w:tcPr>
            <w:tcW w:w="851" w:type="dxa"/>
            <w:shd w:val="clear" w:color="auto" w:fill="00B0F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0.2 p</w:t>
            </w:r>
          </w:p>
        </w:tc>
        <w:tc>
          <w:tcPr>
            <w:tcW w:w="8549" w:type="dxa"/>
            <w:gridSpan w:val="2"/>
            <w:shd w:val="clear" w:color="auto" w:fill="0070C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Supraîncărcarea operatorilor aritmetici unari</w:t>
            </w:r>
          </w:p>
        </w:tc>
      </w:tr>
      <w:tr w:rsidR="003E4932">
        <w:trPr>
          <w:trHeight w:val="182"/>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rsidP="00607A13">
            <w:pP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Supraîncărcarea operatorului unar + ca funcție prieten a clasei, care returnează numărul însuși.</w:t>
            </w:r>
          </w:p>
        </w:tc>
      </w:tr>
      <w:tr w:rsidR="003E4932">
        <w:trPr>
          <w:trHeight w:val="356"/>
        </w:trPr>
        <w:tc>
          <w:tcPr>
            <w:tcW w:w="851" w:type="dxa"/>
            <w:vAlign w:val="center"/>
          </w:tcPr>
          <w:p w:rsidR="003E4932" w:rsidRDefault="00607A13">
            <w:pPr>
              <w:jc w:val="center"/>
              <w:rPr>
                <w:sz w:val="20"/>
                <w:szCs w:val="20"/>
                <w:lang w:val="ro-RO"/>
              </w:rPr>
            </w:pPr>
            <w:r>
              <w:rPr>
                <w:sz w:val="20"/>
                <w:szCs w:val="20"/>
                <w:lang w:val="ro-RO"/>
              </w:rPr>
              <w:t>0.1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 xml:space="preserve">Supraîncărcarea operatorului unar - ca funcție prieten a clasei,  care returnează opusul </w:t>
            </w:r>
            <w:r>
              <w:rPr>
                <w:sz w:val="20"/>
                <w:szCs w:val="20"/>
                <w:lang w:val="ro-RO"/>
              </w:rPr>
              <w:t>numărului.</w:t>
            </w:r>
          </w:p>
        </w:tc>
      </w:tr>
      <w:tr w:rsidR="003E4932">
        <w:trPr>
          <w:trHeight w:val="182"/>
        </w:trPr>
        <w:tc>
          <w:tcPr>
            <w:tcW w:w="851" w:type="dxa"/>
            <w:shd w:val="clear" w:color="auto" w:fill="00B0F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1.5 p</w:t>
            </w:r>
          </w:p>
        </w:tc>
        <w:tc>
          <w:tcPr>
            <w:tcW w:w="8549" w:type="dxa"/>
            <w:gridSpan w:val="2"/>
            <w:shd w:val="clear" w:color="auto" w:fill="0070C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Supraîncărcarea operatorilor aritmetici binari</w:t>
            </w:r>
          </w:p>
        </w:tc>
      </w:tr>
      <w:tr w:rsidR="003E4932">
        <w:trPr>
          <w:trHeight w:val="705"/>
        </w:trPr>
        <w:tc>
          <w:tcPr>
            <w:tcW w:w="851" w:type="dxa"/>
            <w:vAlign w:val="center"/>
          </w:tcPr>
          <w:p w:rsidR="003E4932" w:rsidRDefault="00607A13">
            <w:pPr>
              <w:jc w:val="center"/>
              <w:rPr>
                <w:sz w:val="20"/>
                <w:szCs w:val="20"/>
                <w:lang w:val="ro-RO"/>
              </w:rPr>
            </w:pPr>
            <w:r>
              <w:rPr>
                <w:sz w:val="20"/>
                <w:szCs w:val="20"/>
                <w:lang w:val="ro-RO"/>
              </w:rPr>
              <w:t>0.3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 xml:space="preserve">Supraîncărcarea operatorului binar + ca funcție prieten a clasei, care realizează operația de adunare a două numere întregi mari și returnează rezultatul. Operatorul trebuie scris în </w:t>
            </w:r>
            <w:r>
              <w:rPr>
                <w:sz w:val="20"/>
                <w:szCs w:val="20"/>
                <w:lang w:val="ro-RO"/>
              </w:rPr>
              <w:t>trei variante pentru a putea funcționa cu operanzi de tipul (BigInteger, BigInteger), (int, BigInteger) și (BigInteger, int).</w:t>
            </w:r>
          </w:p>
        </w:tc>
      </w:tr>
      <w:tr w:rsidR="003E4932">
        <w:trPr>
          <w:trHeight w:val="705"/>
        </w:trPr>
        <w:tc>
          <w:tcPr>
            <w:tcW w:w="851" w:type="dxa"/>
            <w:vAlign w:val="center"/>
          </w:tcPr>
          <w:p w:rsidR="003E4932" w:rsidRDefault="00607A13">
            <w:pPr>
              <w:jc w:val="center"/>
              <w:rPr>
                <w:sz w:val="20"/>
                <w:szCs w:val="20"/>
                <w:lang w:val="ro-RO"/>
              </w:rPr>
            </w:pPr>
            <w:r>
              <w:rPr>
                <w:sz w:val="20"/>
                <w:szCs w:val="20"/>
                <w:lang w:val="ro-RO"/>
              </w:rPr>
              <w:t>0.3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Supraîncărcarea operatorului binar - ca funcție prieten a clasei, care realizează operația de scădere a două numere întreg</w:t>
            </w:r>
            <w:r>
              <w:rPr>
                <w:sz w:val="20"/>
                <w:szCs w:val="20"/>
                <w:lang w:val="ro-RO"/>
              </w:rPr>
              <w:t>i mari și returnează rezultatul. Operatorul trebuie scris în trei variante pentru a putea funcționa cu operanzi de tipul (BigInteger, BigInteger), (int, BigInteger) și (BigInteger, int).</w:t>
            </w:r>
          </w:p>
        </w:tc>
      </w:tr>
      <w:tr w:rsidR="003E4932">
        <w:trPr>
          <w:trHeight w:val="705"/>
        </w:trPr>
        <w:tc>
          <w:tcPr>
            <w:tcW w:w="851" w:type="dxa"/>
            <w:vAlign w:val="center"/>
          </w:tcPr>
          <w:p w:rsidR="003E4932" w:rsidRDefault="00607A13">
            <w:pPr>
              <w:jc w:val="center"/>
              <w:rPr>
                <w:sz w:val="20"/>
                <w:szCs w:val="20"/>
                <w:lang w:val="ro-RO"/>
              </w:rPr>
            </w:pPr>
            <w:r>
              <w:rPr>
                <w:sz w:val="20"/>
                <w:szCs w:val="20"/>
                <w:lang w:val="ro-RO"/>
              </w:rPr>
              <w:t>0.3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Supraîncărcarea operatorului binar * ca funcție prieten a cla</w:t>
            </w:r>
            <w:r>
              <w:rPr>
                <w:sz w:val="20"/>
                <w:szCs w:val="20"/>
                <w:lang w:val="ro-RO"/>
              </w:rPr>
              <w:t xml:space="preserve">sei, care realizează operația de înmulțire a două numere întregi mari și returnează rezultatul. Operatorul trebuie scris în trei </w:t>
            </w:r>
            <w:r>
              <w:rPr>
                <w:sz w:val="20"/>
                <w:szCs w:val="20"/>
                <w:lang w:val="ro-RO"/>
              </w:rPr>
              <w:lastRenderedPageBreak/>
              <w:t>variante pentru a putea funcționa cu operanzi de tipul (BigInteger, BigInteger), (int, BigInteger) și (BigInteger, int).</w:t>
            </w:r>
          </w:p>
        </w:tc>
      </w:tr>
      <w:tr w:rsidR="003E4932">
        <w:trPr>
          <w:trHeight w:val="705"/>
        </w:trPr>
        <w:tc>
          <w:tcPr>
            <w:tcW w:w="851" w:type="dxa"/>
            <w:vAlign w:val="center"/>
          </w:tcPr>
          <w:p w:rsidR="003E4932" w:rsidRDefault="00607A13">
            <w:pPr>
              <w:jc w:val="center"/>
              <w:rPr>
                <w:sz w:val="20"/>
                <w:szCs w:val="20"/>
                <w:lang w:val="ro-RO"/>
              </w:rPr>
            </w:pPr>
            <w:r>
              <w:rPr>
                <w:sz w:val="20"/>
                <w:szCs w:val="20"/>
                <w:lang w:val="ro-RO"/>
              </w:rPr>
              <w:lastRenderedPageBreak/>
              <w:t>0.3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Supraîncărcarea operatorului binar / ca funcție prieten a clasei, care realizează operația de împărțire a două numere întregi mari și returnează rezultatul. Operatorul trebuie scris în trei variante pentru a putea funcționa cu operanzi de tipul (BigInteg</w:t>
            </w:r>
            <w:r>
              <w:rPr>
                <w:sz w:val="20"/>
                <w:szCs w:val="20"/>
                <w:lang w:val="ro-RO"/>
              </w:rPr>
              <w:t>er, BigInteger), (int, BigInteger) și (BigInteger, int).</w:t>
            </w:r>
          </w:p>
        </w:tc>
      </w:tr>
      <w:tr w:rsidR="003E4932">
        <w:trPr>
          <w:trHeight w:val="356"/>
        </w:trPr>
        <w:tc>
          <w:tcPr>
            <w:tcW w:w="851" w:type="dxa"/>
            <w:vAlign w:val="center"/>
          </w:tcPr>
          <w:p w:rsidR="003E4932" w:rsidRDefault="00607A13">
            <w:pPr>
              <w:jc w:val="center"/>
              <w:rPr>
                <w:sz w:val="20"/>
                <w:szCs w:val="20"/>
                <w:lang w:val="ro-RO"/>
              </w:rPr>
            </w:pPr>
            <w:r>
              <w:rPr>
                <w:sz w:val="20"/>
                <w:szCs w:val="20"/>
                <w:lang w:val="ro-RO"/>
              </w:rPr>
              <w:t>0.3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Supraîncărcarea operatorului binar ^ care realizează operația de ridicare a unui număr întreg mare la o putere număr natural și returnează rezultatul.</w:t>
            </w:r>
          </w:p>
        </w:tc>
      </w:tr>
      <w:tr w:rsidR="003E4932">
        <w:trPr>
          <w:trHeight w:val="182"/>
        </w:trPr>
        <w:tc>
          <w:tcPr>
            <w:tcW w:w="851" w:type="dxa"/>
            <w:shd w:val="clear" w:color="auto" w:fill="00B0F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1.8  p</w:t>
            </w:r>
          </w:p>
        </w:tc>
        <w:tc>
          <w:tcPr>
            <w:tcW w:w="8549" w:type="dxa"/>
            <w:gridSpan w:val="2"/>
            <w:shd w:val="clear" w:color="auto" w:fill="0070C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Supraîncărcarea operatorilor rel</w:t>
            </w:r>
            <w:r>
              <w:rPr>
                <w:b/>
                <w:color w:val="FFFFFF" w:themeColor="background1"/>
                <w:sz w:val="20"/>
                <w:szCs w:val="20"/>
                <w:lang w:val="ro-RO"/>
              </w:rPr>
              <w:t>aționali</w:t>
            </w:r>
          </w:p>
        </w:tc>
      </w:tr>
      <w:tr w:rsidR="003E4932">
        <w:trPr>
          <w:trHeight w:val="530"/>
        </w:trPr>
        <w:tc>
          <w:tcPr>
            <w:tcW w:w="851" w:type="dxa"/>
            <w:vAlign w:val="center"/>
          </w:tcPr>
          <w:p w:rsidR="003E4932" w:rsidRDefault="00607A13">
            <w:pPr>
              <w:jc w:val="center"/>
              <w:rPr>
                <w:sz w:val="20"/>
                <w:szCs w:val="20"/>
                <w:lang w:val="ro-RO"/>
              </w:rPr>
            </w:pPr>
            <w:r>
              <w:rPr>
                <w:sz w:val="20"/>
                <w:szCs w:val="20"/>
                <w:lang w:val="ro-RO"/>
              </w:rPr>
              <w:t>0.3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 xml:space="preserve">Supraîncărcarea operatorului == ca funcție prieten a clasei, care să verifice egalitatea a două numere întregi mari. Operatorul trebuie scris în trei variante pentru a putea funcționa cu operanzi de tipul (BigInteger, BigInteger), (int, </w:t>
            </w:r>
            <w:r>
              <w:rPr>
                <w:sz w:val="20"/>
                <w:szCs w:val="20"/>
                <w:lang w:val="ro-RO"/>
              </w:rPr>
              <w:t>BigInteger) și (BigInteger, int).</w:t>
            </w:r>
          </w:p>
        </w:tc>
      </w:tr>
      <w:tr w:rsidR="003E4932">
        <w:trPr>
          <w:trHeight w:val="530"/>
        </w:trPr>
        <w:tc>
          <w:tcPr>
            <w:tcW w:w="851" w:type="dxa"/>
            <w:vAlign w:val="center"/>
          </w:tcPr>
          <w:p w:rsidR="003E4932" w:rsidRDefault="00607A13">
            <w:pPr>
              <w:jc w:val="center"/>
              <w:rPr>
                <w:sz w:val="20"/>
                <w:szCs w:val="20"/>
                <w:lang w:val="ro-RO"/>
              </w:rPr>
            </w:pPr>
            <w:r>
              <w:rPr>
                <w:sz w:val="20"/>
                <w:szCs w:val="20"/>
                <w:lang w:val="ro-RO"/>
              </w:rPr>
              <w:t>0.3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 xml:space="preserve">Supraîncărcarea operatorului != ca funcție prieten a clasei, care să verifice neegalitatea a două numere întregi mari. Operatorul trebuie scris în trei variante pentru a putea funcționa cu operanzi de tipul </w:t>
            </w:r>
            <w:r>
              <w:rPr>
                <w:sz w:val="20"/>
                <w:szCs w:val="20"/>
                <w:lang w:val="ro-RO"/>
              </w:rPr>
              <w:t>(BigInteger, BigInteger), (int, BigInteger) și (BigInteger, int).</w:t>
            </w:r>
          </w:p>
        </w:tc>
      </w:tr>
      <w:tr w:rsidR="003E4932">
        <w:trPr>
          <w:trHeight w:val="705"/>
        </w:trPr>
        <w:tc>
          <w:tcPr>
            <w:tcW w:w="851" w:type="dxa"/>
            <w:vAlign w:val="center"/>
          </w:tcPr>
          <w:p w:rsidR="003E4932" w:rsidRDefault="00607A13">
            <w:pPr>
              <w:jc w:val="center"/>
              <w:rPr>
                <w:sz w:val="20"/>
                <w:szCs w:val="20"/>
                <w:lang w:val="ro-RO"/>
              </w:rPr>
            </w:pPr>
            <w:r>
              <w:rPr>
                <w:sz w:val="20"/>
                <w:szCs w:val="20"/>
                <w:lang w:val="ro-RO"/>
              </w:rPr>
              <w:t>0.3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Supraîncărcarea operatorului &lt; ca funcție prieten a clasei, care să verifice dacă un număr întreg mare este mai mic decât un alt număr întreg mare. Operatorul trebuie scris în trei v</w:t>
            </w:r>
            <w:r>
              <w:rPr>
                <w:sz w:val="20"/>
                <w:szCs w:val="20"/>
                <w:lang w:val="ro-RO"/>
              </w:rPr>
              <w:t>ariante, pentru a putea funcționa cu operanzi de tipul (BigInteger, BigInteger), (int, BigInteger) și (BigInteger, int).</w:t>
            </w:r>
          </w:p>
        </w:tc>
      </w:tr>
      <w:tr w:rsidR="003E4932">
        <w:trPr>
          <w:trHeight w:val="705"/>
        </w:trPr>
        <w:tc>
          <w:tcPr>
            <w:tcW w:w="851" w:type="dxa"/>
            <w:vAlign w:val="center"/>
          </w:tcPr>
          <w:p w:rsidR="003E4932" w:rsidRDefault="00607A13">
            <w:pPr>
              <w:jc w:val="center"/>
              <w:rPr>
                <w:sz w:val="20"/>
                <w:szCs w:val="20"/>
                <w:lang w:val="ro-RO"/>
              </w:rPr>
            </w:pPr>
            <w:r>
              <w:rPr>
                <w:sz w:val="20"/>
                <w:szCs w:val="20"/>
                <w:lang w:val="ro-RO"/>
              </w:rPr>
              <w:t>0.3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 xml:space="preserve">Supraîncărcarea operatorului &lt;= ca funcție prieten a clasei, care să verifice dacă un număr întreg mare este mai mic sau egal </w:t>
            </w:r>
            <w:r>
              <w:rPr>
                <w:sz w:val="20"/>
                <w:szCs w:val="20"/>
                <w:lang w:val="ro-RO"/>
              </w:rPr>
              <w:t>cu un alt număr întreg mare. Operatorul trebuie scris în trei variante, pentru a putea funcționa cu operanzi de tipul (BigInteger, BigInteger), (int, BigInteger) și (BigInteger, int).</w:t>
            </w:r>
          </w:p>
        </w:tc>
      </w:tr>
      <w:tr w:rsidR="003E4932">
        <w:trPr>
          <w:trHeight w:val="705"/>
        </w:trPr>
        <w:tc>
          <w:tcPr>
            <w:tcW w:w="851" w:type="dxa"/>
            <w:vAlign w:val="center"/>
          </w:tcPr>
          <w:p w:rsidR="003E4932" w:rsidRDefault="00607A13">
            <w:pPr>
              <w:jc w:val="center"/>
              <w:rPr>
                <w:sz w:val="20"/>
                <w:szCs w:val="20"/>
                <w:lang w:val="ro-RO"/>
              </w:rPr>
            </w:pPr>
            <w:r>
              <w:rPr>
                <w:sz w:val="20"/>
                <w:szCs w:val="20"/>
                <w:lang w:val="ro-RO"/>
              </w:rPr>
              <w:t>0.3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Supraîncărcarea operatorului &gt; ca funcție prieten a clasei, care</w:t>
            </w:r>
            <w:r>
              <w:rPr>
                <w:sz w:val="20"/>
                <w:szCs w:val="20"/>
                <w:lang w:val="ro-RO"/>
              </w:rPr>
              <w:t xml:space="preserve"> să verifice dacă un număr întreg mare este mai mare decât un alt număr întreg mare. Operatorul trebuie scris în trei variante, pentru a putea funcționa cu operanzi de tipul (BigInteger, BigInteger), (int, BigInteger) și (BigInteger, int).</w:t>
            </w:r>
          </w:p>
        </w:tc>
      </w:tr>
      <w:tr w:rsidR="003E4932">
        <w:trPr>
          <w:trHeight w:val="705"/>
        </w:trPr>
        <w:tc>
          <w:tcPr>
            <w:tcW w:w="851" w:type="dxa"/>
            <w:vAlign w:val="center"/>
          </w:tcPr>
          <w:p w:rsidR="003E4932" w:rsidRDefault="00607A13">
            <w:pPr>
              <w:jc w:val="center"/>
              <w:rPr>
                <w:sz w:val="20"/>
                <w:szCs w:val="20"/>
                <w:lang w:val="ro-RO"/>
              </w:rPr>
            </w:pPr>
            <w:r>
              <w:rPr>
                <w:sz w:val="20"/>
                <w:szCs w:val="20"/>
                <w:lang w:val="ro-RO"/>
              </w:rPr>
              <w:t>0.3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Supraînc</w:t>
            </w:r>
            <w:r>
              <w:rPr>
                <w:sz w:val="20"/>
                <w:szCs w:val="20"/>
                <w:lang w:val="ro-RO"/>
              </w:rPr>
              <w:t>ărcarea operatorului &gt;= ca funcție prieten a clasei, care să verifice dacă un număr întreg mare este mai mare sau egal cu un alt număr întreg mare. Operatorul trebuie scris în trei variante, pentru a putea funcționa cu operanzi de tipul (BigInteger, BigInt</w:t>
            </w:r>
            <w:r>
              <w:rPr>
                <w:sz w:val="20"/>
                <w:szCs w:val="20"/>
                <w:lang w:val="ro-RO"/>
              </w:rPr>
              <w:t>eger), (int, BigInteger) și (BigInteger, int).</w:t>
            </w:r>
          </w:p>
        </w:tc>
      </w:tr>
      <w:tr w:rsidR="003E4932">
        <w:trPr>
          <w:trHeight w:val="182"/>
        </w:trPr>
        <w:tc>
          <w:tcPr>
            <w:tcW w:w="851" w:type="dxa"/>
            <w:shd w:val="clear" w:color="auto" w:fill="00B0F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1.25 p</w:t>
            </w:r>
          </w:p>
        </w:tc>
        <w:tc>
          <w:tcPr>
            <w:tcW w:w="8549" w:type="dxa"/>
            <w:gridSpan w:val="2"/>
            <w:shd w:val="clear" w:color="auto" w:fill="0070C0"/>
            <w:vAlign w:val="center"/>
          </w:tcPr>
          <w:p w:rsidR="003E4932" w:rsidRDefault="00607A13">
            <w:pPr>
              <w:jc w:val="center"/>
              <w:rPr>
                <w:b/>
                <w:color w:val="FFFFFF" w:themeColor="background1"/>
                <w:sz w:val="20"/>
                <w:szCs w:val="20"/>
                <w:lang w:val="ro-RO"/>
              </w:rPr>
            </w:pPr>
            <w:r>
              <w:rPr>
                <w:b/>
                <w:color w:val="FFFFFF" w:themeColor="background1"/>
                <w:sz w:val="20"/>
                <w:szCs w:val="20"/>
                <w:lang w:val="ro-RO"/>
              </w:rPr>
              <w:t>Supraîncărcarea operatorilor de cititre și de scriere</w:t>
            </w:r>
          </w:p>
        </w:tc>
      </w:tr>
      <w:tr w:rsidR="003E4932">
        <w:trPr>
          <w:trHeight w:val="530"/>
        </w:trPr>
        <w:tc>
          <w:tcPr>
            <w:tcW w:w="851" w:type="dxa"/>
            <w:vAlign w:val="center"/>
          </w:tcPr>
          <w:p w:rsidR="003E4932" w:rsidRDefault="00607A13">
            <w:pPr>
              <w:jc w:val="center"/>
              <w:rPr>
                <w:sz w:val="20"/>
                <w:szCs w:val="20"/>
                <w:lang w:val="ro-RO"/>
              </w:rPr>
            </w:pPr>
            <w:r>
              <w:rPr>
                <w:sz w:val="20"/>
                <w:szCs w:val="20"/>
                <w:lang w:val="ro-RO"/>
              </w:rPr>
              <w:t>0. 5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 xml:space="preserve">Supraîncărcarea operatorului binar &gt;&gt; ca funcție prieten a clasei, care realizează citirea unui număr întreg mare de la tastatură sau </w:t>
            </w:r>
            <w:r>
              <w:rPr>
                <w:sz w:val="20"/>
                <w:szCs w:val="20"/>
                <w:lang w:val="ro-RO"/>
              </w:rPr>
              <w:t>dintr-un fișier. Formele de reprezentare a unui număr întreg mare pentru citire sunt "a", "-a".</w:t>
            </w:r>
          </w:p>
        </w:tc>
      </w:tr>
      <w:tr w:rsidR="003E4932">
        <w:trPr>
          <w:trHeight w:val="530"/>
        </w:trPr>
        <w:tc>
          <w:tcPr>
            <w:tcW w:w="851" w:type="dxa"/>
            <w:vAlign w:val="center"/>
          </w:tcPr>
          <w:p w:rsidR="003E4932" w:rsidRDefault="00607A13">
            <w:pPr>
              <w:jc w:val="center"/>
              <w:rPr>
                <w:sz w:val="20"/>
                <w:szCs w:val="20"/>
                <w:lang w:val="ro-RO"/>
              </w:rPr>
            </w:pPr>
            <w:r>
              <w:rPr>
                <w:sz w:val="20"/>
                <w:szCs w:val="20"/>
                <w:lang w:val="ro-RO"/>
              </w:rPr>
              <w:t>0.75 p</w:t>
            </w:r>
          </w:p>
        </w:tc>
        <w:tc>
          <w:tcPr>
            <w:tcW w:w="427" w:type="dxa"/>
            <w:vAlign w:val="center"/>
          </w:tcPr>
          <w:p w:rsidR="003E4932" w:rsidRDefault="00607A13">
            <w:pPr>
              <w:jc w:val="center"/>
              <w:rPr>
                <w:sz w:val="20"/>
                <w:szCs w:val="20"/>
                <w:lang w:val="ro-RO"/>
              </w:rPr>
            </w:pPr>
            <w:r>
              <w:rPr>
                <w:sz w:val="20"/>
                <w:szCs w:val="20"/>
                <w:lang w:val="ro-RO"/>
              </w:rPr>
              <w:t>x</w:t>
            </w:r>
          </w:p>
        </w:tc>
        <w:tc>
          <w:tcPr>
            <w:tcW w:w="8122" w:type="dxa"/>
            <w:vAlign w:val="center"/>
          </w:tcPr>
          <w:p w:rsidR="003E4932" w:rsidRDefault="00607A13">
            <w:pPr>
              <w:rPr>
                <w:sz w:val="20"/>
                <w:szCs w:val="20"/>
                <w:lang w:val="ro-RO"/>
              </w:rPr>
            </w:pPr>
            <w:r>
              <w:rPr>
                <w:sz w:val="20"/>
                <w:szCs w:val="20"/>
                <w:lang w:val="ro-RO"/>
              </w:rPr>
              <w:t>Supraîncărcarea operatorului binar &lt;&lt; ca funcție prieten a clasei, care realizează scrierea unui număr întreg mare în consolă sau într-un fișier. Forme</w:t>
            </w:r>
            <w:r>
              <w:rPr>
                <w:sz w:val="20"/>
                <w:szCs w:val="20"/>
                <w:lang w:val="ro-RO"/>
              </w:rPr>
              <w:t>le de reprezentare a unui număr întreg mare pentru scriere sunt "a", "-a".</w:t>
            </w:r>
          </w:p>
        </w:tc>
      </w:tr>
    </w:tbl>
    <w:p w:rsidR="003E4932" w:rsidRDefault="003E4932">
      <w:pPr>
        <w:rPr>
          <w:sz w:val="20"/>
          <w:szCs w:val="20"/>
          <w:lang w:val="ro-RO"/>
        </w:rPr>
      </w:pPr>
      <w:bookmarkStart w:id="0" w:name="_GoBack"/>
      <w:bookmarkEnd w:id="0"/>
    </w:p>
    <w:sectPr w:rsidR="003E4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86"/>
    <w:rsid w:val="00000F5A"/>
    <w:rsid w:val="00006F2E"/>
    <w:rsid w:val="00020E14"/>
    <w:rsid w:val="0002786E"/>
    <w:rsid w:val="00031B6A"/>
    <w:rsid w:val="00035E38"/>
    <w:rsid w:val="00037167"/>
    <w:rsid w:val="00040E26"/>
    <w:rsid w:val="00052AB7"/>
    <w:rsid w:val="00085DD6"/>
    <w:rsid w:val="000863F8"/>
    <w:rsid w:val="0009245B"/>
    <w:rsid w:val="00094A87"/>
    <w:rsid w:val="000968D8"/>
    <w:rsid w:val="000A0EF3"/>
    <w:rsid w:val="000B172D"/>
    <w:rsid w:val="000C084B"/>
    <w:rsid w:val="000D15BE"/>
    <w:rsid w:val="000D3BDF"/>
    <w:rsid w:val="000E0E00"/>
    <w:rsid w:val="000F33F0"/>
    <w:rsid w:val="000F79AA"/>
    <w:rsid w:val="00101FE6"/>
    <w:rsid w:val="001160CE"/>
    <w:rsid w:val="00116BD2"/>
    <w:rsid w:val="0012039C"/>
    <w:rsid w:val="00122F90"/>
    <w:rsid w:val="00130733"/>
    <w:rsid w:val="00131CFA"/>
    <w:rsid w:val="00137C4E"/>
    <w:rsid w:val="00141553"/>
    <w:rsid w:val="00163E52"/>
    <w:rsid w:val="001675D4"/>
    <w:rsid w:val="00183A61"/>
    <w:rsid w:val="001903C6"/>
    <w:rsid w:val="0019139A"/>
    <w:rsid w:val="001947D1"/>
    <w:rsid w:val="001A0A9A"/>
    <w:rsid w:val="001A7FE5"/>
    <w:rsid w:val="001B05A0"/>
    <w:rsid w:val="001B1DF0"/>
    <w:rsid w:val="001B22BB"/>
    <w:rsid w:val="001B5CF5"/>
    <w:rsid w:val="001C1692"/>
    <w:rsid w:val="001C175C"/>
    <w:rsid w:val="001C18F4"/>
    <w:rsid w:val="001C1F4A"/>
    <w:rsid w:val="001D10D5"/>
    <w:rsid w:val="001D2729"/>
    <w:rsid w:val="001D44D6"/>
    <w:rsid w:val="001D5BCB"/>
    <w:rsid w:val="001E5C7B"/>
    <w:rsid w:val="001E649D"/>
    <w:rsid w:val="001F20D1"/>
    <w:rsid w:val="00200401"/>
    <w:rsid w:val="00214718"/>
    <w:rsid w:val="00216B2A"/>
    <w:rsid w:val="00223F32"/>
    <w:rsid w:val="00224040"/>
    <w:rsid w:val="00225325"/>
    <w:rsid w:val="00243AEC"/>
    <w:rsid w:val="002465A5"/>
    <w:rsid w:val="00246B37"/>
    <w:rsid w:val="00246F6C"/>
    <w:rsid w:val="002556E4"/>
    <w:rsid w:val="002625E6"/>
    <w:rsid w:val="00262F5C"/>
    <w:rsid w:val="00267480"/>
    <w:rsid w:val="00274876"/>
    <w:rsid w:val="00281F5D"/>
    <w:rsid w:val="0028234E"/>
    <w:rsid w:val="002851CE"/>
    <w:rsid w:val="002925A1"/>
    <w:rsid w:val="002A2204"/>
    <w:rsid w:val="002A6243"/>
    <w:rsid w:val="002B166C"/>
    <w:rsid w:val="002B3179"/>
    <w:rsid w:val="002C4B34"/>
    <w:rsid w:val="002C4BAB"/>
    <w:rsid w:val="002D4016"/>
    <w:rsid w:val="00305BE6"/>
    <w:rsid w:val="00315C16"/>
    <w:rsid w:val="00321AC4"/>
    <w:rsid w:val="003372B5"/>
    <w:rsid w:val="00340460"/>
    <w:rsid w:val="00343F39"/>
    <w:rsid w:val="003452A2"/>
    <w:rsid w:val="003473A8"/>
    <w:rsid w:val="00347567"/>
    <w:rsid w:val="00351630"/>
    <w:rsid w:val="00351985"/>
    <w:rsid w:val="003535B8"/>
    <w:rsid w:val="0036194D"/>
    <w:rsid w:val="003647F2"/>
    <w:rsid w:val="00365215"/>
    <w:rsid w:val="003867B3"/>
    <w:rsid w:val="00395038"/>
    <w:rsid w:val="003A4783"/>
    <w:rsid w:val="003B2E3D"/>
    <w:rsid w:val="003B776B"/>
    <w:rsid w:val="003C0B30"/>
    <w:rsid w:val="003D1720"/>
    <w:rsid w:val="003D372A"/>
    <w:rsid w:val="003D7062"/>
    <w:rsid w:val="003D7FE5"/>
    <w:rsid w:val="003E4932"/>
    <w:rsid w:val="003F521F"/>
    <w:rsid w:val="00404C6A"/>
    <w:rsid w:val="004073B9"/>
    <w:rsid w:val="004103B7"/>
    <w:rsid w:val="00410428"/>
    <w:rsid w:val="00414BE7"/>
    <w:rsid w:val="00422427"/>
    <w:rsid w:val="0043663A"/>
    <w:rsid w:val="00440289"/>
    <w:rsid w:val="00441852"/>
    <w:rsid w:val="00442DB9"/>
    <w:rsid w:val="004430B1"/>
    <w:rsid w:val="004444AC"/>
    <w:rsid w:val="004460C3"/>
    <w:rsid w:val="00447ADA"/>
    <w:rsid w:val="004717E0"/>
    <w:rsid w:val="00473FEC"/>
    <w:rsid w:val="00474AD2"/>
    <w:rsid w:val="00482C21"/>
    <w:rsid w:val="004853BE"/>
    <w:rsid w:val="004A06B4"/>
    <w:rsid w:val="004B22BF"/>
    <w:rsid w:val="004B7AC8"/>
    <w:rsid w:val="004D2CA3"/>
    <w:rsid w:val="004D6074"/>
    <w:rsid w:val="004F264E"/>
    <w:rsid w:val="004F3DB9"/>
    <w:rsid w:val="004F7453"/>
    <w:rsid w:val="00507068"/>
    <w:rsid w:val="00507A70"/>
    <w:rsid w:val="00512CAF"/>
    <w:rsid w:val="005240E1"/>
    <w:rsid w:val="00536863"/>
    <w:rsid w:val="00543251"/>
    <w:rsid w:val="005665A8"/>
    <w:rsid w:val="005A0B27"/>
    <w:rsid w:val="005A5337"/>
    <w:rsid w:val="005A7439"/>
    <w:rsid w:val="005B1FC6"/>
    <w:rsid w:val="005B43A9"/>
    <w:rsid w:val="005C1593"/>
    <w:rsid w:val="005C5E40"/>
    <w:rsid w:val="006003C9"/>
    <w:rsid w:val="00603AB7"/>
    <w:rsid w:val="006049F9"/>
    <w:rsid w:val="00607A13"/>
    <w:rsid w:val="00622B92"/>
    <w:rsid w:val="00630D89"/>
    <w:rsid w:val="00643E02"/>
    <w:rsid w:val="0064517E"/>
    <w:rsid w:val="00657A5F"/>
    <w:rsid w:val="00676DFB"/>
    <w:rsid w:val="00684061"/>
    <w:rsid w:val="0069173A"/>
    <w:rsid w:val="0069345D"/>
    <w:rsid w:val="006A0828"/>
    <w:rsid w:val="006B6045"/>
    <w:rsid w:val="006C11CC"/>
    <w:rsid w:val="006C2924"/>
    <w:rsid w:val="006C4DE9"/>
    <w:rsid w:val="006D658E"/>
    <w:rsid w:val="006E7B7D"/>
    <w:rsid w:val="006F36C4"/>
    <w:rsid w:val="00705393"/>
    <w:rsid w:val="0071042F"/>
    <w:rsid w:val="0071760B"/>
    <w:rsid w:val="00727267"/>
    <w:rsid w:val="0072741B"/>
    <w:rsid w:val="00733E33"/>
    <w:rsid w:val="007351DA"/>
    <w:rsid w:val="00737020"/>
    <w:rsid w:val="007411CE"/>
    <w:rsid w:val="00741770"/>
    <w:rsid w:val="007455B8"/>
    <w:rsid w:val="007459C8"/>
    <w:rsid w:val="00760BF0"/>
    <w:rsid w:val="00761429"/>
    <w:rsid w:val="00765067"/>
    <w:rsid w:val="00773872"/>
    <w:rsid w:val="00774078"/>
    <w:rsid w:val="007803D8"/>
    <w:rsid w:val="007804F4"/>
    <w:rsid w:val="00783304"/>
    <w:rsid w:val="007850E9"/>
    <w:rsid w:val="00791C19"/>
    <w:rsid w:val="0079244B"/>
    <w:rsid w:val="007A0F87"/>
    <w:rsid w:val="007A3278"/>
    <w:rsid w:val="007A4CFF"/>
    <w:rsid w:val="007B00D0"/>
    <w:rsid w:val="007B0513"/>
    <w:rsid w:val="007B34C6"/>
    <w:rsid w:val="007B5AF1"/>
    <w:rsid w:val="007B7B9C"/>
    <w:rsid w:val="007C521D"/>
    <w:rsid w:val="007D27ED"/>
    <w:rsid w:val="008054AB"/>
    <w:rsid w:val="00813DF5"/>
    <w:rsid w:val="0081443C"/>
    <w:rsid w:val="00816E44"/>
    <w:rsid w:val="00820997"/>
    <w:rsid w:val="00820EBE"/>
    <w:rsid w:val="008224CF"/>
    <w:rsid w:val="00825CB0"/>
    <w:rsid w:val="00830F0E"/>
    <w:rsid w:val="008344A7"/>
    <w:rsid w:val="008453BE"/>
    <w:rsid w:val="00846297"/>
    <w:rsid w:val="00847133"/>
    <w:rsid w:val="00852E7C"/>
    <w:rsid w:val="00856EDC"/>
    <w:rsid w:val="008647EA"/>
    <w:rsid w:val="008657CF"/>
    <w:rsid w:val="00872767"/>
    <w:rsid w:val="008738A7"/>
    <w:rsid w:val="00885698"/>
    <w:rsid w:val="008A2811"/>
    <w:rsid w:val="008A3CA4"/>
    <w:rsid w:val="008A7E8C"/>
    <w:rsid w:val="008B58FE"/>
    <w:rsid w:val="008B6A50"/>
    <w:rsid w:val="008C2289"/>
    <w:rsid w:val="008C2335"/>
    <w:rsid w:val="008C34FA"/>
    <w:rsid w:val="008C56AD"/>
    <w:rsid w:val="008D00AD"/>
    <w:rsid w:val="008D3A57"/>
    <w:rsid w:val="008E4A3C"/>
    <w:rsid w:val="008F5ACF"/>
    <w:rsid w:val="008F770F"/>
    <w:rsid w:val="008F7D5B"/>
    <w:rsid w:val="00903244"/>
    <w:rsid w:val="00910CF8"/>
    <w:rsid w:val="0091564C"/>
    <w:rsid w:val="00921ABC"/>
    <w:rsid w:val="00921F1B"/>
    <w:rsid w:val="009231DB"/>
    <w:rsid w:val="00937394"/>
    <w:rsid w:val="009423A4"/>
    <w:rsid w:val="009657CA"/>
    <w:rsid w:val="0098024D"/>
    <w:rsid w:val="00982D71"/>
    <w:rsid w:val="0099016C"/>
    <w:rsid w:val="0099320E"/>
    <w:rsid w:val="009939E4"/>
    <w:rsid w:val="009A38ED"/>
    <w:rsid w:val="009A3A1B"/>
    <w:rsid w:val="009A5CBE"/>
    <w:rsid w:val="009C2774"/>
    <w:rsid w:val="009D5CCE"/>
    <w:rsid w:val="009F42FB"/>
    <w:rsid w:val="009F48E5"/>
    <w:rsid w:val="009F5EC3"/>
    <w:rsid w:val="00A0067C"/>
    <w:rsid w:val="00A05BE4"/>
    <w:rsid w:val="00A233CE"/>
    <w:rsid w:val="00A261E5"/>
    <w:rsid w:val="00A3079F"/>
    <w:rsid w:val="00A31ED1"/>
    <w:rsid w:val="00A336A1"/>
    <w:rsid w:val="00A34A26"/>
    <w:rsid w:val="00A3565B"/>
    <w:rsid w:val="00A40C7E"/>
    <w:rsid w:val="00A51A9B"/>
    <w:rsid w:val="00A52DDA"/>
    <w:rsid w:val="00A56EE4"/>
    <w:rsid w:val="00A623EC"/>
    <w:rsid w:val="00A67590"/>
    <w:rsid w:val="00A67D67"/>
    <w:rsid w:val="00A77183"/>
    <w:rsid w:val="00A85515"/>
    <w:rsid w:val="00A91554"/>
    <w:rsid w:val="00A96320"/>
    <w:rsid w:val="00A96B88"/>
    <w:rsid w:val="00AA4037"/>
    <w:rsid w:val="00AB20E7"/>
    <w:rsid w:val="00AC7A17"/>
    <w:rsid w:val="00AD5909"/>
    <w:rsid w:val="00AF22F8"/>
    <w:rsid w:val="00B06F26"/>
    <w:rsid w:val="00B11D4F"/>
    <w:rsid w:val="00B3090F"/>
    <w:rsid w:val="00B430D2"/>
    <w:rsid w:val="00B43464"/>
    <w:rsid w:val="00B50F17"/>
    <w:rsid w:val="00B51A57"/>
    <w:rsid w:val="00B6572E"/>
    <w:rsid w:val="00B65774"/>
    <w:rsid w:val="00B81583"/>
    <w:rsid w:val="00B834F7"/>
    <w:rsid w:val="00B84ABC"/>
    <w:rsid w:val="00BB55F2"/>
    <w:rsid w:val="00BB7146"/>
    <w:rsid w:val="00BB76A5"/>
    <w:rsid w:val="00BE7EAC"/>
    <w:rsid w:val="00BF0CB1"/>
    <w:rsid w:val="00BF45B1"/>
    <w:rsid w:val="00BF7EF8"/>
    <w:rsid w:val="00C10506"/>
    <w:rsid w:val="00C10D67"/>
    <w:rsid w:val="00C113F8"/>
    <w:rsid w:val="00C11F54"/>
    <w:rsid w:val="00C12D22"/>
    <w:rsid w:val="00C13D36"/>
    <w:rsid w:val="00C205EF"/>
    <w:rsid w:val="00C23C5A"/>
    <w:rsid w:val="00C24367"/>
    <w:rsid w:val="00C24B92"/>
    <w:rsid w:val="00C2628B"/>
    <w:rsid w:val="00C26F41"/>
    <w:rsid w:val="00C309A1"/>
    <w:rsid w:val="00C30DD8"/>
    <w:rsid w:val="00C32D4F"/>
    <w:rsid w:val="00C43BAE"/>
    <w:rsid w:val="00C450A3"/>
    <w:rsid w:val="00C4650F"/>
    <w:rsid w:val="00C544F5"/>
    <w:rsid w:val="00C60C35"/>
    <w:rsid w:val="00C6548C"/>
    <w:rsid w:val="00C806A5"/>
    <w:rsid w:val="00C95D29"/>
    <w:rsid w:val="00CA1E53"/>
    <w:rsid w:val="00CB6BA3"/>
    <w:rsid w:val="00CC4624"/>
    <w:rsid w:val="00CD5BA3"/>
    <w:rsid w:val="00CE0AB9"/>
    <w:rsid w:val="00CE3A1F"/>
    <w:rsid w:val="00CE4F14"/>
    <w:rsid w:val="00D10BA8"/>
    <w:rsid w:val="00D10CBE"/>
    <w:rsid w:val="00D13744"/>
    <w:rsid w:val="00D45047"/>
    <w:rsid w:val="00D622C3"/>
    <w:rsid w:val="00D64F1E"/>
    <w:rsid w:val="00D80B11"/>
    <w:rsid w:val="00D930C0"/>
    <w:rsid w:val="00D932F8"/>
    <w:rsid w:val="00D96767"/>
    <w:rsid w:val="00DA1C41"/>
    <w:rsid w:val="00DA7786"/>
    <w:rsid w:val="00DB2D44"/>
    <w:rsid w:val="00DB6BEF"/>
    <w:rsid w:val="00DC5BCD"/>
    <w:rsid w:val="00DC5C77"/>
    <w:rsid w:val="00DC69FF"/>
    <w:rsid w:val="00DD14E0"/>
    <w:rsid w:val="00DE5E09"/>
    <w:rsid w:val="00DE72AA"/>
    <w:rsid w:val="00DF0EAB"/>
    <w:rsid w:val="00DF2746"/>
    <w:rsid w:val="00E0593E"/>
    <w:rsid w:val="00E227B3"/>
    <w:rsid w:val="00E23997"/>
    <w:rsid w:val="00E32981"/>
    <w:rsid w:val="00E36363"/>
    <w:rsid w:val="00E375C6"/>
    <w:rsid w:val="00E57E71"/>
    <w:rsid w:val="00EA37E9"/>
    <w:rsid w:val="00EB1AF9"/>
    <w:rsid w:val="00EC1D22"/>
    <w:rsid w:val="00EE0691"/>
    <w:rsid w:val="00F03ACA"/>
    <w:rsid w:val="00F04C32"/>
    <w:rsid w:val="00F12BD3"/>
    <w:rsid w:val="00F277A9"/>
    <w:rsid w:val="00F35313"/>
    <w:rsid w:val="00F40333"/>
    <w:rsid w:val="00F411FC"/>
    <w:rsid w:val="00F43AFB"/>
    <w:rsid w:val="00F528EA"/>
    <w:rsid w:val="00F53750"/>
    <w:rsid w:val="00F66F8B"/>
    <w:rsid w:val="00F7353C"/>
    <w:rsid w:val="00F8796D"/>
    <w:rsid w:val="00F91A18"/>
    <w:rsid w:val="00F97C56"/>
    <w:rsid w:val="00FA1196"/>
    <w:rsid w:val="00FA1213"/>
    <w:rsid w:val="00FB5D8A"/>
    <w:rsid w:val="00FC3380"/>
    <w:rsid w:val="00FC352C"/>
    <w:rsid w:val="00FD04C6"/>
    <w:rsid w:val="00FD35E6"/>
    <w:rsid w:val="00FF246C"/>
    <w:rsid w:val="3045191A"/>
    <w:rsid w:val="45BF1E23"/>
    <w:rsid w:val="6CD60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BE2D"/>
  <w15:docId w15:val="{F8C3D0A4-7E30-4C00-8140-DA34253A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5B9BD5" w:themeColor="accent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5B9BD5" w:themeColor="accent1"/>
      <w:spacing w:val="5"/>
    </w:rPr>
  </w:style>
  <w:style w:type="character" w:customStyle="1" w:styleId="BookTitle1">
    <w:name w:val="Book Title1"/>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3E4D1D7-68E2-4CC6-A74F-BF8E0BE1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3290</TotalTime>
  <Pages>5</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rebeca</cp:lastModifiedBy>
  <cp:revision>341</cp:revision>
  <dcterms:created xsi:type="dcterms:W3CDTF">2018-10-15T18:31:00Z</dcterms:created>
  <dcterms:modified xsi:type="dcterms:W3CDTF">2018-10-29T21:54:00Z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KSOProductBuildVer">
    <vt:lpwstr>1033-10.2.0.7516</vt:lpwstr>
  </property>
</Properties>
</file>