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CA194" w14:textId="77777777" w:rsidR="00130AFB" w:rsidRDefault="00BA5616">
      <w:pPr>
        <w:spacing w:before="800" w:after="100"/>
      </w:pPr>
      <w:r>
        <w:rPr>
          <w:b/>
          <w:bCs/>
          <w:color w:val="E5177E"/>
          <w:sz w:val="44"/>
          <w:szCs w:val="44"/>
        </w:rPr>
        <w:t>MÉLIUZ</w:t>
      </w:r>
    </w:p>
    <w:p w14:paraId="463F826F" w14:textId="35B2307C" w:rsidR="00130AFB" w:rsidRDefault="00F902EE">
      <w:pPr>
        <w:spacing w:after="400"/>
      </w:pPr>
      <w:r>
        <w:rPr>
          <w:i/>
          <w:iCs/>
          <w:color w:val="3A3A3A"/>
          <w:sz w:val="24"/>
          <w:szCs w:val="24"/>
        </w:rPr>
        <w:t xml:space="preserve">Rebeca Amaral Prado – Elaborado pela futura estagiária do Time de Growth : )</w:t>
      </w:r>
    </w:p>
    <w:p w14:paraId="0D7BA3BC" w14:textId="77777777" w:rsidR="00130AFB" w:rsidRDefault="00BA5616">
      <w:pPr>
        <w:pStyle w:val="Ttulo"/>
        <w:spacing w:after="100"/>
      </w:pPr>
      <w:r>
        <w:rPr>
          <w:b/>
          <w:bCs/>
          <w:color w:val="9C0F57"/>
          <w:sz w:val="40"/>
          <w:szCs w:val="40"/>
        </w:rPr>
        <w:t xml:space="preserve">Relatório de Testes A/B — Cashback</w:t>
      </w:r>
    </w:p>
    <w:p w14:paraId="5B451ABE" w14:textId="77777777" w:rsidR="00130AFB" w:rsidRDefault="00130AFB">
      <w:pPr>
        <w:spacing w:after="400"/>
      </w:pPr>
    </w:p>
    <w:p w14:paraId="051FD4C0" w14:textId="77777777" w:rsidR="00130AFB" w:rsidRDefault="00BA5616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t>Sumário executivo</w:t>
      </w:r>
    </w:p>
    <w:p w14:paraId="3131888B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Foram analisados 3 testes A/B de variação de % de cashback (Parceiros A, B e C), avaliando o impacto na margem líquida diária (comissão − cashback). A decisão de escalar uma variante segue dois filtros aplicados em sequência:</w:t>
      </w:r>
    </w:p>
    <w:p w14:paraId="544FF837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 xml:space="preserve">Filtro estatístico — a diferença entre grupos é estatisticamente confiável? (IC95% não cruza zero e a diferença observada é maior que o effect size mínimo detectável, o MDE).</w:t>
      </w:r>
    </w:p>
    <w:p w14:paraId="1AF226E8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 xml:space="preserve">Filtro de negócio — mesmo no cenário mais conservador da incerteza estatística, o ganho ainda compensa o esforço/risco de trocar a variante ativa? (limite inferior do IC95% comparado a um custo mínimo de troca, custo_troca).</w:t>
      </w:r>
    </w:p>
    <w:p w14:paraId="56CB4C5A" w14:textId="77777777" w:rsidR="00130AFB" w:rsidRDefault="00130AFB">
      <w:pPr>
        <w:spacing w:after="100"/>
      </w:pPr>
    </w:p>
    <w:p w14:paraId="503CE9C4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Resultado consolidado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200"/>
      </w:tblGrid>
      <w:tr w:rsidR="00130AFB" w14:paraId="0DC90160" w14:textId="77777777">
        <w:trPr>
          <w:tblHeader/>
        </w:trPr>
        <w:tc>
          <w:tcPr>
            <w:tcW w:w="18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E0F292" w14:textId="77777777" w:rsidR="00130AFB" w:rsidRDefault="00BA5616">
            <w:r>
              <w:rPr>
                <w:b/>
                <w:bCs/>
                <w:color w:val="9C0F57"/>
              </w:rPr>
              <w:t>Parceiro</w:t>
            </w:r>
          </w:p>
        </w:tc>
        <w:tc>
          <w:tcPr>
            <w:tcW w:w="42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C6BA3C" w14:textId="77777777" w:rsidR="00130AFB" w:rsidRDefault="00BA5616">
            <w:r>
              <w:rPr>
                <w:b/>
                <w:bCs/>
                <w:color w:val="9C0F57"/>
              </w:rPr>
              <w:t>Decisão</w:t>
            </w:r>
          </w:p>
        </w:tc>
        <w:tc>
          <w:tcPr>
            <w:tcW w:w="32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E3588D" w14:textId="77777777" w:rsidR="00130AFB" w:rsidRDefault="00BA5616">
            <w:r>
              <w:rPr>
                <w:b/>
                <w:bCs/>
                <w:color w:val="9C0F57"/>
              </w:rPr>
              <w:t>Grupo recomendado</w:t>
            </w:r>
          </w:p>
        </w:tc>
      </w:tr>
      <w:tr w:rsidR="00130AFB" w14:paraId="172EDE51" w14:textId="77777777">
        <w:tc>
          <w:tcPr>
            <w:tcW w:w="1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4685C8" w14:textId="77777777" w:rsidR="00130AFB" w:rsidRDefault="00BA5616">
            <w:r>
              <w:rPr>
                <w:color w:val="3A3A3A"/>
              </w:rPr>
              <w:t>Parceiro A</w:t>
            </w:r>
          </w:p>
        </w:tc>
        <w:tc>
          <w:tcPr>
            <w:tcW w:w="4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87358D" w14:textId="77777777" w:rsidR="00130AFB" w:rsidRDefault="00BA5616">
            <w:r>
              <w:rPr>
                <w:color w:val="3A3A3A"/>
              </w:rPr>
              <w:t>inconclusivo — nenhum grupo supera todos os demais com confiança estatística suficiente</w:t>
            </w:r>
          </w:p>
        </w:tc>
        <w:tc>
          <w:tcPr>
            <w:tcW w:w="3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1E51A5" w14:textId="77777777" w:rsidR="00130AFB" w:rsidRDefault="00BA5616">
            <w:r>
              <w:rPr>
                <w:color w:val="3A3A3A"/>
              </w:rPr>
              <w:t>-</w:t>
            </w:r>
          </w:p>
        </w:tc>
      </w:tr>
      <w:tr w:rsidR="00130AFB" w14:paraId="4B044C1D" w14:textId="77777777">
        <w:tc>
          <w:tcPr>
            <w:tcW w:w="1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1385D1" w14:textId="77777777" w:rsidR="00130AFB" w:rsidRDefault="00BA5616">
            <w:r>
              <w:rPr>
                <w:color w:val="3A3A3A"/>
              </w:rPr>
              <w:t>Parceiro B</w:t>
            </w:r>
          </w:p>
        </w:tc>
        <w:tc>
          <w:tcPr>
            <w:tcW w:w="4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018C34" w14:textId="77777777" w:rsidR="00130AFB" w:rsidRDefault="00BA5616">
            <w:r>
              <w:rPr>
                <w:color w:val="3A3A3A"/>
              </w:rPr>
              <w:t>escalar Grupo 1</w:t>
            </w:r>
          </w:p>
        </w:tc>
        <w:tc>
          <w:tcPr>
            <w:tcW w:w="3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6C6250" w14:textId="77777777" w:rsidR="00130AFB" w:rsidRDefault="00BA5616">
            <w:r>
              <w:rPr>
                <w:color w:val="3A3A3A"/>
              </w:rPr>
              <w:t>Grupo 1</w:t>
            </w:r>
          </w:p>
        </w:tc>
      </w:tr>
      <w:tr w:rsidR="00130AFB" w14:paraId="2A4A19DB" w14:textId="77777777">
        <w:tc>
          <w:tcPr>
            <w:tcW w:w="1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E8BF16" w14:textId="77777777" w:rsidR="00130AFB" w:rsidRDefault="00BA5616">
            <w:r>
              <w:rPr>
                <w:color w:val="3A3A3A"/>
              </w:rPr>
              <w:t>Parceiro C</w:t>
            </w:r>
          </w:p>
        </w:tc>
        <w:tc>
          <w:tcPr>
            <w:tcW w:w="4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7A4EE" w14:textId="77777777" w:rsidR="00130AFB" w:rsidRDefault="00BA5616">
            <w:r>
              <w:rPr>
                <w:color w:val="3A3A3A"/>
              </w:rPr>
              <w:t>escalar Grupo 1 (caso determinístico)</w:t>
            </w:r>
          </w:p>
        </w:tc>
        <w:tc>
          <w:tcPr>
            <w:tcW w:w="32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7F14B4" w14:textId="77777777" w:rsidR="00130AFB" w:rsidRDefault="00BA5616">
            <w:r>
              <w:rPr>
                <w:color w:val="3A3A3A"/>
              </w:rPr>
              <w:t>Grupo 1</w:t>
            </w:r>
          </w:p>
        </w:tc>
      </w:tr>
    </w:tbl>
    <w:p w14:paraId="77CE9F93" w14:textId="77777777" w:rsidR="00130AFB" w:rsidRDefault="00BA5616">
      <w:pPr>
        <w:spacing w:before="120" w:after="200"/>
      </w:pPr>
      <w:r>
        <w:rPr>
          <w:i/>
          <w:iCs/>
          <w:color w:val="6B6B6B"/>
        </w:rPr>
        <w:t xml:space="preserve">Resultado também registrado e atualizado automaticamente em planilha de acompanhamento (Google Sheets): https://docs.google.com/spreadsheets/d/1IWuPGGC3dJzRLDFo6DDltB7FoHLpuMkMyjO8ULBjX0E/edit (acesso de leitura público).</w:t>
      </w:r>
    </w:p>
    <w:p w14:paraId="4CCCD35F" w14:textId="77777777" w:rsidR="00130AFB" w:rsidRDefault="00BA5616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t xml:space="preserve">Metodologia: como o custo_troca foi definido</w:t>
      </w:r>
    </w:p>
    <w:p w14:paraId="68D5BED9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O custo_troca representa o ganho mínimo de margem (R$/dia) necessário para justificar o esforço e o risco de escalar uma variante para 100% do tráfego. Não é derivado estatisticamente dos dados — é uma estimativa de negócio, calculada aqui como o maior valor entre dois pisos:</w:t>
      </w:r>
    </w:p>
    <w:p w14:paraId="6B0774C7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 xml:space="preserve">Custo operacional amortizado: tempo estimado de trabalho para reconfigurar a variante ativa, convertido em R$/dia ao longo do período esperado de vigência da mudança. Estimativa ilustrativa: 6h de trabalho, a uma taxa de ~R$15,15/hora (baseada em pesquisa de salário médio de estágio em Growth/IA no Brasil, ~R$2.000/mês), amortizado em 30 dias — resultando em ~R$3,03/dia.</w:t>
      </w:r>
    </w:p>
    <w:p w14:paraId="1817F05B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>1,5× o desvio-padrão diário (pooled, entre todos os grupos) da margem de cada parceiro: um piso de "ruído natural do negócio" — ganhos menores que isso se perdem na variação que a operação já tem no dia a dia, mesmo sem nenhuma mudança.</w:t>
      </w:r>
    </w:p>
    <w:p w14:paraId="76F36F9F" w14:textId="77777777" w:rsidR="00BA5616" w:rsidRDefault="00BA5616">
      <w:pPr>
        <w:pStyle w:val="Ttulo2"/>
        <w:spacing w:before="300" w:after="150"/>
        <w:rPr>
          <w:b/>
          <w:bCs/>
          <w:color w:val="9C0F57"/>
          <w:sz w:val="24"/>
          <w:szCs w:val="24"/>
        </w:rPr>
      </w:pPr>
    </w:p>
    <w:p w14:paraId="696C827C" w14:textId="6A270B8F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lastRenderedPageBreak/>
        <w:t>Por que o maior dos dois, e não a soma ou a média?</w:t>
      </w:r>
    </w:p>
    <w:p w14:paraId="02D6CE6E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A mudança precisa, simultaneamente, cobrir o custo de implementá-la E ser grande o suficiente para não se perder no ruído natural do negócio. Usar o máximo garante que os dois critérios sejam satisfeitos ao mesmo tempo.</w:t>
      </w:r>
    </w:p>
    <w:p w14:paraId="05B9FD59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Testamos a sensibilidade do custo operacional variando de 4h/15 dias a 6h/30 dias (R$3 a R$21/dia) — em ambos os parceiros com incerteza estatística (A e B), o desvio-padrão domina o cálculo com folga, e o resultado final da decisão não muda. Isto é, a decisão de escalar ou não depende principalmente da variação natural do negócio, não da premissa (mais arbitrária) de custo operacional.</w:t>
      </w:r>
    </w:p>
    <w:p w14:paraId="4B38F954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Como os dados não identificam explicitamente qual grupo era o controle (variante já existente antes do teste), usamos o desvio-padrão pooled entre todos os grupos de cada parceiro, evitando adicionar uma suposição não verificável sobre qual grupo era o baseline.</w:t>
      </w:r>
    </w:p>
    <w:p w14:paraId="63C1EC9D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Sensibilidade do multiplicador (1,5×)</w:t>
      </w:r>
    </w:p>
    <w:p w14:paraId="219F1D2D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O multiplicador 1,5× (aplicado ao desvio-padrão pooled) também é uma escolha de calibração, não um valor derivado estatisticamente -- representa uma margem de segurança acima de 1 desvio-padrão puro, sem ser tão conservador quanto 2×. Testamos como a decisão se comporta variando esse multiplicador de 1× a 2×: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2600"/>
        <w:gridCol w:w="2600"/>
      </w:tblGrid>
      <w:tr w:rsidR="00130AFB" w14:paraId="66FDA5E5" w14:textId="77777777">
        <w:trPr>
          <w:tblHeader/>
        </w:trPr>
        <w:tc>
          <w:tcPr>
            <w:tcW w:w="14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2F0E87" w14:textId="77777777" w:rsidR="00130AFB" w:rsidRDefault="00BA5616">
            <w:r>
              <w:rPr>
                <w:b/>
                <w:bCs/>
                <w:color w:val="9C0F57"/>
              </w:rPr>
              <w:t>Parceiro</w:t>
            </w:r>
          </w:p>
        </w:tc>
        <w:tc>
          <w:tcPr>
            <w:tcW w:w="26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4D404F" w14:textId="77777777" w:rsidR="00130AFB" w:rsidRDefault="00BA5616">
            <w:r>
              <w:rPr>
                <w:b/>
                <w:bCs/>
                <w:color w:val="9C0F57"/>
              </w:rPr>
              <w:t>1×</w:t>
            </w:r>
          </w:p>
        </w:tc>
        <w:tc>
          <w:tcPr>
            <w:tcW w:w="26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A90CDD" w14:textId="77777777" w:rsidR="00130AFB" w:rsidRDefault="00BA5616">
            <w:r>
              <w:rPr>
                <w:b/>
                <w:bCs/>
                <w:color w:val="9C0F57"/>
              </w:rPr>
              <w:t>1,5× (usado)</w:t>
            </w:r>
          </w:p>
        </w:tc>
        <w:tc>
          <w:tcPr>
            <w:tcW w:w="26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5F3EEB" w14:textId="77777777" w:rsidR="00130AFB" w:rsidRDefault="00BA5616">
            <w:r>
              <w:rPr>
                <w:b/>
                <w:bCs/>
                <w:color w:val="9C0F57"/>
              </w:rPr>
              <w:t>2×</w:t>
            </w:r>
          </w:p>
        </w:tc>
      </w:tr>
      <w:tr w:rsidR="00130AFB" w14:paraId="5C2BD3A8" w14:textId="77777777">
        <w:tc>
          <w:tcPr>
            <w:tcW w:w="1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D22AF1" w14:textId="77777777" w:rsidR="00130AFB" w:rsidRDefault="00BA5616">
            <w:r>
              <w:rPr>
                <w:color w:val="3A3A3A"/>
              </w:rPr>
              <w:t>A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C636D8" w14:textId="77777777" w:rsidR="00130AFB" w:rsidRDefault="00BA5616">
            <w:r>
              <w:rPr>
                <w:color w:val="3A3A3A"/>
              </w:rPr>
              <w:t>inconclusivo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32C766" w14:textId="77777777" w:rsidR="00130AFB" w:rsidRDefault="00BA5616">
            <w:r>
              <w:rPr>
                <w:color w:val="3A3A3A"/>
              </w:rPr>
              <w:t>inconclusivo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18601B" w14:textId="77777777" w:rsidR="00130AFB" w:rsidRDefault="00BA5616">
            <w:r>
              <w:rPr>
                <w:color w:val="3A3A3A"/>
              </w:rPr>
              <w:t>inconclusivo</w:t>
            </w:r>
          </w:p>
        </w:tc>
      </w:tr>
      <w:tr w:rsidR="00130AFB" w14:paraId="368EB757" w14:textId="77777777">
        <w:tc>
          <w:tcPr>
            <w:tcW w:w="1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63CACC" w14:textId="77777777" w:rsidR="00130AFB" w:rsidRDefault="00BA5616">
            <w:r>
              <w:rPr>
                <w:color w:val="3A3A3A"/>
              </w:rPr>
              <w:t>B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67A3C3" w14:textId="77777777" w:rsidR="00130AFB" w:rsidRDefault="00BA5616">
            <w:r>
              <w:rPr>
                <w:color w:val="3A3A3A"/>
              </w:rPr>
              <w:t>escalar Grupo 1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025DC2" w14:textId="77777777" w:rsidR="00130AFB" w:rsidRDefault="00BA5616">
            <w:r>
              <w:rPr>
                <w:color w:val="3A3A3A"/>
              </w:rPr>
              <w:t>escalar Grupo 1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D3C739" w14:textId="77777777" w:rsidR="00130AFB" w:rsidRDefault="00BA5616">
            <w:r>
              <w:rPr>
                <w:color w:val="3A3A3A"/>
              </w:rPr>
              <w:t>não compensa o risco</w:t>
            </w:r>
          </w:p>
        </w:tc>
      </w:tr>
      <w:tr w:rsidR="00130AFB" w14:paraId="75B34F40" w14:textId="77777777">
        <w:tc>
          <w:tcPr>
            <w:tcW w:w="14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1C5229" w14:textId="77777777" w:rsidR="00130AFB" w:rsidRDefault="00BA5616">
            <w:r>
              <w:rPr>
                <w:color w:val="3A3A3A"/>
              </w:rPr>
              <w:t>C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88A24D" w14:textId="77777777" w:rsidR="00130AFB" w:rsidRDefault="00BA5616">
            <w:r>
              <w:rPr>
                <w:color w:val="3A3A3A"/>
              </w:rPr>
              <w:t>não se aplica (caso determinístico)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C70850" w14:textId="77777777" w:rsidR="00130AFB" w:rsidRDefault="00BA5616">
            <w:r>
              <w:rPr>
                <w:color w:val="3A3A3A"/>
              </w:rPr>
              <w:t>não se aplica</w:t>
            </w:r>
          </w:p>
        </w:tc>
        <w:tc>
          <w:tcPr>
            <w:tcW w:w="26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96C293" w14:textId="77777777" w:rsidR="00130AFB" w:rsidRDefault="00BA5616">
            <w:r>
              <w:rPr>
                <w:color w:val="3A3A3A"/>
              </w:rPr>
              <w:t>não se aplica</w:t>
            </w:r>
          </w:p>
        </w:tc>
      </w:tr>
    </w:tbl>
    <w:p w14:paraId="7AF43FE2" w14:textId="77777777" w:rsidR="00130AFB" w:rsidRDefault="00130AFB">
      <w:pPr>
        <w:spacing w:after="100"/>
      </w:pPr>
    </w:p>
    <w:p w14:paraId="0743C833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Parceiro A é robusto à escolha do multiplicador -- a decisão permanece "inconclusivo" em toda a faixa testada. Parceiro B tem um ponto de virada: em 2× o pooled (custo_troca = R$ 2.563,76/dia), a diferença deixa de compensar o risco de troca, revertendo a recomendação de "escalar" para "manter controle". Isso mostra que a decisão do Parceiro B, embora sólida em 1,5×, tem uma margem de segurança menor que a do Parceiro A -- informação relevante para quem for validar o custo_troca definitivo com o time de growth.</w:t>
      </w:r>
    </w:p>
    <w:p w14:paraId="4E64132F" w14:textId="77777777" w:rsidR="00130AFB" w:rsidRDefault="00BA5616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t>Parceiro A</w:t>
      </w:r>
    </w:p>
    <w:p w14:paraId="7040D6ED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Período analisado: 01/01/2011 a 02/04/2011</w:t>
      </w:r>
    </w:p>
    <w:p w14:paraId="02822EAC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Grupos testados: Grupo 1, Grupo 2, Grupo 3</w:t>
      </w:r>
    </w:p>
    <w:p w14:paraId="5745379A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Resultado estatístico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130AFB" w14:paraId="7B9BC861" w14:textId="77777777">
        <w:trPr>
          <w:tblHeader/>
        </w:trPr>
        <w:tc>
          <w:tcPr>
            <w:tcW w:w="30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72F4DA" w14:textId="77777777" w:rsidR="00130AFB" w:rsidRDefault="00BA5616">
            <w:r>
              <w:rPr>
                <w:b/>
                <w:bCs/>
                <w:color w:val="9C0F57"/>
              </w:rPr>
              <w:t>Grupo</w:t>
            </w:r>
          </w:p>
        </w:tc>
        <w:tc>
          <w:tcPr>
            <w:tcW w:w="30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281ADF" w14:textId="77777777" w:rsidR="00130AFB" w:rsidRDefault="00BA5616">
            <w:r>
              <w:rPr>
                <w:b/>
                <w:bCs/>
                <w:color w:val="9C0F57"/>
              </w:rPr>
              <w:t>Margem média (R$/dia)</w:t>
            </w:r>
          </w:p>
        </w:tc>
      </w:tr>
      <w:tr w:rsidR="00130AFB" w14:paraId="46CAB711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633CAF" w14:textId="77777777" w:rsidR="00130AFB" w:rsidRDefault="00BA5616">
            <w:r>
              <w:rPr>
                <w:color w:val="3A3A3A"/>
              </w:rPr>
              <w:t>Grupo 1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1BBA66" w14:textId="77777777" w:rsidR="00130AFB" w:rsidRDefault="00BA5616">
            <w:r>
              <w:rPr>
                <w:color w:val="3A3A3A"/>
              </w:rPr>
              <w:t>4.399,03</w:t>
            </w:r>
          </w:p>
        </w:tc>
      </w:tr>
      <w:tr w:rsidR="00130AFB" w14:paraId="49D9C1F4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DDE31C" w14:textId="77777777" w:rsidR="00130AFB" w:rsidRDefault="00BA5616">
            <w:r>
              <w:rPr>
                <w:color w:val="3A3A3A"/>
              </w:rPr>
              <w:t>Grupo 2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5EA482" w14:textId="77777777" w:rsidR="00130AFB" w:rsidRDefault="00BA5616">
            <w:r>
              <w:rPr>
                <w:color w:val="3A3A3A"/>
              </w:rPr>
              <w:t>3.886,08</w:t>
            </w:r>
          </w:p>
        </w:tc>
      </w:tr>
      <w:tr w:rsidR="00130AFB" w14:paraId="33136E42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2865B" w14:textId="77777777" w:rsidR="00130AFB" w:rsidRDefault="00BA5616">
            <w:r>
              <w:rPr>
                <w:color w:val="3A3A3A"/>
              </w:rPr>
              <w:t>Grupo 3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193BAF" w14:textId="77777777" w:rsidR="00130AFB" w:rsidRDefault="00BA5616">
            <w:r>
              <w:rPr>
                <w:color w:val="3A3A3A"/>
              </w:rPr>
              <w:t>2.872,68</w:t>
            </w:r>
          </w:p>
        </w:tc>
      </w:tr>
    </w:tbl>
    <w:p w14:paraId="0B79B0F9" w14:textId="77777777" w:rsidR="00130AFB" w:rsidRDefault="00130AFB">
      <w:pPr>
        <w:spacing w:after="120"/>
      </w:pPr>
    </w:p>
    <w:p w14:paraId="5686EF83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Teste F conjunto: p = 0,0014 (diferença significativa entre grupos).</w:t>
      </w:r>
    </w:p>
    <w:p w14:paraId="119F5121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Effect size mínimo detectável (MDE): R$ 1.169,76/dia — diferenças menores que isso não têm poder estatístico suficiente para serem confiáveis, dado o tamanho da amostra.</w:t>
      </w:r>
    </w:p>
    <w:p w14:paraId="27F81EFB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lastRenderedPageBreak/>
        <w:t>Filtro de negócio</w:t>
      </w:r>
    </w:p>
    <w:p w14:paraId="74C93B4D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custo_troca aplicado: R$ 3.041,68/dia (ver metodologia). A decisão só recomenda escalar uma variante se o limite inferior do IC95% da diferença superar esse valor.</w:t>
      </w:r>
    </w:p>
    <w:p w14:paraId="66F4FB0C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Decisão final</w:t>
      </w:r>
    </w:p>
    <w:p w14:paraId="5F4FE1C9" w14:textId="77777777" w:rsidR="00130AFB" w:rsidRDefault="00130AFB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30AFB" w14:paraId="0A2C168D" w14:textId="77777777">
        <w:tc>
          <w:tcPr>
            <w:tcW w:w="9200" w:type="dxa"/>
            <w:shd w:val="clear" w:color="auto" w:fill="E5177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695C17A" w14:textId="77777777" w:rsidR="00130AFB" w:rsidRDefault="00BA5616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DECISÃO: INCONCLUSIVO</w:t>
            </w:r>
          </w:p>
        </w:tc>
      </w:tr>
    </w:tbl>
    <w:p w14:paraId="5869DFA9" w14:textId="77777777" w:rsidR="00130AFB" w:rsidRDefault="00130AFB">
      <w:pPr>
        <w:spacing w:after="160"/>
      </w:pPr>
    </w:p>
    <w:p w14:paraId="70B63853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Apesar do teste F conjunto indicar diferença significativa entre os grupos, nenhum grupo supera todos os demais simultaneamente com confiança estatística — apenas o Grupo 1 bate o Grupo 3 com confiança: a diferença entre Grupo 1 e Grupo 2 não é estatisticamente significativa, e a diferença entre Grupo 2 e Grupo 3, embora significativa, fica abaixo do MDE daquele par (efeito pequeno demais para confiar, dado o tamanho da amostra). Recomenda-se re-teste com maior N ou investigação adicional antes de escalar qualquer variante.</w:t>
      </w:r>
    </w:p>
    <w:p w14:paraId="199BB181" w14:textId="77777777" w:rsidR="00130AFB" w:rsidRDefault="00BA5616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t>Parceiro B</w:t>
      </w:r>
    </w:p>
    <w:p w14:paraId="04F56454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Período analisado: 01/05/2011 a 30/06/2011</w:t>
      </w:r>
    </w:p>
    <w:p w14:paraId="5516A269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Grupos testados: Grupo 1, Grupo 2, Grupo 3</w:t>
      </w:r>
    </w:p>
    <w:p w14:paraId="60618350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Resultado estatístico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130AFB" w14:paraId="472E1FD6" w14:textId="77777777">
        <w:trPr>
          <w:tblHeader/>
        </w:trPr>
        <w:tc>
          <w:tcPr>
            <w:tcW w:w="30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F786DB" w14:textId="77777777" w:rsidR="00130AFB" w:rsidRDefault="00BA5616">
            <w:r>
              <w:rPr>
                <w:b/>
                <w:bCs/>
                <w:color w:val="9C0F57"/>
              </w:rPr>
              <w:t>Grupo</w:t>
            </w:r>
          </w:p>
        </w:tc>
        <w:tc>
          <w:tcPr>
            <w:tcW w:w="30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FD3D87" w14:textId="77777777" w:rsidR="00130AFB" w:rsidRDefault="00BA5616">
            <w:r>
              <w:rPr>
                <w:b/>
                <w:bCs/>
                <w:color w:val="9C0F57"/>
              </w:rPr>
              <w:t>Margem média (R$/dia)</w:t>
            </w:r>
          </w:p>
        </w:tc>
      </w:tr>
      <w:tr w:rsidR="00130AFB" w14:paraId="49295FB4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882CA2" w14:textId="77777777" w:rsidR="00130AFB" w:rsidRDefault="00BA5616">
            <w:r>
              <w:rPr>
                <w:color w:val="3A3A3A"/>
              </w:rPr>
              <w:t>Grupo 1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251F2A" w14:textId="77777777" w:rsidR="00130AFB" w:rsidRDefault="00BA5616">
            <w:r>
              <w:rPr>
                <w:color w:val="3A3A3A"/>
              </w:rPr>
              <w:t>4.697,87</w:t>
            </w:r>
          </w:p>
        </w:tc>
      </w:tr>
      <w:tr w:rsidR="00130AFB" w14:paraId="2487B561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49673D" w14:textId="77777777" w:rsidR="00130AFB" w:rsidRDefault="00BA5616">
            <w:r>
              <w:rPr>
                <w:color w:val="3A3A3A"/>
              </w:rPr>
              <w:t>Grupo 2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0A69C0" w14:textId="77777777" w:rsidR="00130AFB" w:rsidRDefault="00BA5616">
            <w:r>
              <w:rPr>
                <w:color w:val="3A3A3A"/>
              </w:rPr>
              <w:t>2.346,84</w:t>
            </w:r>
          </w:p>
        </w:tc>
      </w:tr>
      <w:tr w:rsidR="00130AFB" w14:paraId="1D5B7164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620C9" w14:textId="77777777" w:rsidR="00130AFB" w:rsidRDefault="00BA5616">
            <w:r>
              <w:rPr>
                <w:color w:val="3A3A3A"/>
              </w:rPr>
              <w:t>Grupo 3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646AA0" w14:textId="77777777" w:rsidR="00130AFB" w:rsidRDefault="00BA5616">
            <w:r>
              <w:rPr>
                <w:color w:val="3A3A3A"/>
              </w:rPr>
              <w:t>862,18</w:t>
            </w:r>
          </w:p>
        </w:tc>
      </w:tr>
    </w:tbl>
    <w:p w14:paraId="5819C725" w14:textId="77777777" w:rsidR="00130AFB" w:rsidRDefault="00130AFB">
      <w:pPr>
        <w:spacing w:after="120"/>
      </w:pPr>
    </w:p>
    <w:p w14:paraId="6FF9AAA9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Teste F conjunto: p = 0,0000 (diferença significativa entre grupos).</w:t>
      </w:r>
    </w:p>
    <w:p w14:paraId="5814F587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Effect size mínimo detectável (MDE): R$ 461,17/dia — diferenças menores que isso não têm poder estatístico suficiente para serem confiáveis, dado o tamanho da amostra.</w:t>
      </w:r>
    </w:p>
    <w:p w14:paraId="371C17AE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Filtro de negócio</w:t>
      </w:r>
    </w:p>
    <w:p w14:paraId="4BC54DAB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custo_troca aplicado: R$ 1.922,82/dia (ver metodologia). A decisão só recomenda escalar uma variante se o limite inferior do IC95% da diferença superar esse valor.</w:t>
      </w:r>
    </w:p>
    <w:p w14:paraId="6B4182B1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Decisão final</w:t>
      </w:r>
    </w:p>
    <w:p w14:paraId="4B3FBDE1" w14:textId="77777777" w:rsidR="00130AFB" w:rsidRDefault="00130AFB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30AFB" w14:paraId="0DA074FD" w14:textId="77777777">
        <w:tc>
          <w:tcPr>
            <w:tcW w:w="9200" w:type="dxa"/>
            <w:shd w:val="clear" w:color="auto" w:fill="E5177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7644B0F" w14:textId="77777777" w:rsidR="00130AFB" w:rsidRDefault="00BA5616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DECISÃO: ESCALAR</w:t>
            </w:r>
          </w:p>
        </w:tc>
      </w:tr>
    </w:tbl>
    <w:p w14:paraId="5FB4CF05" w14:textId="77777777" w:rsidR="00130AFB" w:rsidRDefault="00130AFB">
      <w:pPr>
        <w:spacing w:after="160"/>
      </w:pPr>
    </w:p>
    <w:p w14:paraId="3676ED1A" w14:textId="740E2A09" w:rsidR="00130AFB" w:rsidRDefault="00BA5616">
      <w:pPr>
        <w:spacing w:after="160"/>
        <w:rPr>
          <w:color w:val="3A3A3A"/>
          <w:sz w:val="21"/>
          <w:szCs w:val="21"/>
        </w:rPr>
      </w:pPr>
      <w:r>
        <w:rPr>
          <w:color w:val="3A3A3A"/>
          <w:sz w:val="21"/>
          <w:szCs w:val="21"/>
        </w:rPr>
        <w:t>Grupo 1 supera todos os demais grupos com diferença estatisticamente confiável (IC95% + MDE) e economicamente relevante (limite inferior do IC95% acima do custo de troca de R$ 1.922,82/dia). Recomenda-se escalar Grupo 1 para 100% do tráfego.</w:t>
      </w:r>
    </w:p>
    <w:p w14:paraId="5E6F7E19" w14:textId="77777777" w:rsidR="00BA5616" w:rsidRDefault="00BA5616">
      <w:pPr>
        <w:spacing w:after="160"/>
      </w:pPr>
    </w:p>
    <w:p w14:paraId="0B72C2B5" w14:textId="77777777" w:rsidR="00130AFB" w:rsidRDefault="00BA5616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lastRenderedPageBreak/>
        <w:t>Parceiro C</w:t>
      </w:r>
    </w:p>
    <w:p w14:paraId="4CA45F70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Período analisado: 01/07/2011 a 14/08/2011</w:t>
      </w:r>
    </w:p>
    <w:p w14:paraId="58EE22AE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Grupos testados: Grupo 1, Grupo 2</w:t>
      </w:r>
    </w:p>
    <w:p w14:paraId="42B542A1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Resultado estatístico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130AFB" w14:paraId="2C5A4AE4" w14:textId="77777777">
        <w:trPr>
          <w:tblHeader/>
        </w:trPr>
        <w:tc>
          <w:tcPr>
            <w:tcW w:w="30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C9F706" w14:textId="77777777" w:rsidR="00130AFB" w:rsidRDefault="00BA5616">
            <w:r>
              <w:rPr>
                <w:b/>
                <w:bCs/>
                <w:color w:val="9C0F57"/>
              </w:rPr>
              <w:t>Grupo</w:t>
            </w:r>
          </w:p>
        </w:tc>
        <w:tc>
          <w:tcPr>
            <w:tcW w:w="3000" w:type="dxa"/>
            <w:shd w:val="clear" w:color="auto" w:fill="FBE1EE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168788" w14:textId="77777777" w:rsidR="00130AFB" w:rsidRDefault="00BA5616">
            <w:r>
              <w:rPr>
                <w:b/>
                <w:bCs/>
                <w:color w:val="9C0F57"/>
              </w:rPr>
              <w:t>Margem média (R$/dia)</w:t>
            </w:r>
          </w:p>
        </w:tc>
      </w:tr>
      <w:tr w:rsidR="00130AFB" w14:paraId="613A3F67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F7E88B" w14:textId="77777777" w:rsidR="00130AFB" w:rsidRDefault="00BA5616">
            <w:r>
              <w:rPr>
                <w:color w:val="3A3A3A"/>
              </w:rPr>
              <w:t>Grupo 1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A0DC90" w14:textId="77777777" w:rsidR="00130AFB" w:rsidRDefault="00BA5616">
            <w:r>
              <w:rPr>
                <w:color w:val="3A3A3A"/>
              </w:rPr>
              <w:t>772,64</w:t>
            </w:r>
          </w:p>
        </w:tc>
      </w:tr>
      <w:tr w:rsidR="00130AFB" w14:paraId="5B789DF9" w14:textId="77777777"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9F2A03" w14:textId="77777777" w:rsidR="00130AFB" w:rsidRDefault="00BA5616">
            <w:r>
              <w:rPr>
                <w:color w:val="3A3A3A"/>
              </w:rPr>
              <w:t>Grupo 2</w:t>
            </w:r>
          </w:p>
        </w:tc>
        <w:tc>
          <w:tcPr>
            <w:tcW w:w="30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B7586" w14:textId="77777777" w:rsidR="00130AFB" w:rsidRDefault="00BA5616">
            <w:r>
              <w:rPr>
                <w:color w:val="3A3A3A"/>
              </w:rPr>
              <w:t>0,00</w:t>
            </w:r>
          </w:p>
        </w:tc>
      </w:tr>
    </w:tbl>
    <w:p w14:paraId="3D5142E2" w14:textId="77777777" w:rsidR="00130AFB" w:rsidRDefault="00130AFB">
      <w:pPr>
        <w:spacing w:after="120"/>
      </w:pPr>
    </w:p>
    <w:p w14:paraId="717FA161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>Caso determinístico: pelo menos um grupo apresenta variância zero, dispensando teste estatístico.</w:t>
      </w:r>
    </w:p>
    <w:p w14:paraId="485EF8CE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Filtro de negócio</w:t>
      </w:r>
    </w:p>
    <w:p w14:paraId="7E7BC655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custo_troca não se aplica neste caso (diferença determinística, sem incerteza a considerar).</w:t>
      </w:r>
    </w:p>
    <w:p w14:paraId="6D74A05D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Decisão final</w:t>
      </w:r>
    </w:p>
    <w:p w14:paraId="2E3908CC" w14:textId="77777777" w:rsidR="00130AFB" w:rsidRDefault="00130AFB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30AFB" w14:paraId="45CE0DE3" w14:textId="77777777">
        <w:tc>
          <w:tcPr>
            <w:tcW w:w="9200" w:type="dxa"/>
            <w:shd w:val="clear" w:color="auto" w:fill="E5177E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D133B12" w14:textId="77777777" w:rsidR="00130AFB" w:rsidRDefault="00BA5616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DECISÃO: ESCALAR</w:t>
            </w:r>
          </w:p>
        </w:tc>
      </w:tr>
    </w:tbl>
    <w:p w14:paraId="0CF789F8" w14:textId="77777777" w:rsidR="00130AFB" w:rsidRDefault="00130AFB">
      <w:pPr>
        <w:spacing w:after="160"/>
      </w:pPr>
    </w:p>
    <w:p w14:paraId="0F74B408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Diferença determinística: o Grupo 2 apresenta margem zero em 100% dos dias (cashback distribuído é idêntico à comissão recebida em todas as observações), enquanto o Grupo 1 mantém margem média de R$ 772,64/dia. Não há incerteza a testar — a diferença é certa, não estimada.</w:t>
      </w:r>
    </w:p>
    <w:p w14:paraId="0B2B4E95" w14:textId="77777777" w:rsidR="00130AFB" w:rsidRDefault="00BA5616">
      <w:pPr>
        <w:spacing w:after="160"/>
      </w:pPr>
      <w:r>
        <w:rPr>
          <w:b/>
          <w:bCs/>
          <w:i/>
          <w:iCs/>
          <w:color w:val="3A3A3A"/>
          <w:sz w:val="21"/>
          <w:szCs w:val="21"/>
        </w:rPr>
        <w:t xml:space="preserve">⚠ Nota de atenção: o cashback do Grupo 2 é idêntico à comissão em 100% das linhas, zerando a margem — vale confirmar com o time se isso é uma regra de negócio intencional (repasse total) ou um erro de exportação de dados antes de tratar essa decisão como definitiva.</w:t>
      </w:r>
    </w:p>
    <w:p w14:paraId="17725C09" w14:textId="77777777" w:rsidR="00130AFB" w:rsidRDefault="00BA5616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t>Conclusão</w:t>
      </w:r>
    </w:p>
    <w:p w14:paraId="17725C10" w14:textId="77777777" w:rsidR="00130AFB" w:rsidRDefault="00BA5616">
      <w:pPr>
        <w:spacing w:before="120" w:after="200"/>
      </w:pPr>
      <w:r>
        <w:rPr>
          <w:i/>
          <w:iCs/>
          <w:color w:val="6B6B6B"/>
          <w:sz w:val="21"/>
          <w:szCs w:val="21"/>
        </w:rPr>
        <w:t>Pergunta que motivou essa análise: “Dado esse teste A/B, qual variante de cashback devemos escalar pra 100% do tráfego?”</w:t>
      </w:r>
    </w:p>
    <w:p w14:paraId="17725C11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A resposta varia por parceiro. Dos três testes analisados, apenas o Parceiro B produziu uma decisão estatisticamente sólida e economicamente justificada: escalar o Grupo 1. O Parceiro C aponta na mesma direção, mas por um motivo estrutural diferente (diferença determinística, não estatística), que ainda depende de confirmação sobre a origem do dado antes de ser tratado como definitivo. O Parceiro A, por sua vez, não permite recomendação nenhuma no momento: não porque os grupos sejam iguais, mas porque a amostra atual não tem poder estatístico para dizer se são diferentes.</w:t>
      </w:r>
    </w:p>
    <w:p w14:paraId="17725C12" w14:textId="77777777" w:rsidR="00130AFB" w:rsidRDefault="00BA5616">
      <w:pPr>
        <w:spacing w:after="160"/>
      </w:pPr>
      <w:r>
        <w:rPr>
          <w:color w:val="3A3A3A"/>
          <w:sz w:val="21"/>
          <w:szCs w:val="21"/>
        </w:rPr>
        <w:t xml:space="preserve">Esse padrão é o resultado esperado de uma metodologia que prioriza não recomendar uma mudança sem confiança suficiente, mesmo que isso signifique deixar uma decisão em aberto. Fica, portanto, em aberto o que fazer com o Parceiro A: re-testar com mais amostra, ou aceitar que, pelo menos por ora, nenhuma variante testada justifica sair do status quo.</w:t>
      </w:r>
    </w:p>
    <w:p w14:paraId="17725C13" w14:textId="77777777" w:rsidR="00130AFB" w:rsidRDefault="00BA5616">
      <w:pPr>
        <w:pStyle w:val="Ttulo2"/>
        <w:spacing w:before="300" w:after="150"/>
      </w:pPr>
      <w:r>
        <w:rPr>
          <w:b/>
          <w:bCs/>
          <w:color w:val="9C0F57"/>
          <w:sz w:val="24"/>
          <w:szCs w:val="24"/>
        </w:rPr>
        <w:t>Limitações</w:t>
      </w:r>
    </w:p>
    <w:p w14:paraId="17725C14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 xml:space="preserve">O custo_troca usado é uma estimativa ilustrativa; em um cenário real de produção, precisaria ser validado com dados de negócio (custo operacional real, apetite de risco).</w:t>
      </w:r>
    </w:p>
    <w:p w14:paraId="17725C15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 xml:space="preserve">Parceiro C: a origem do dado do Grupo 2 (margem zero) não pode ser confirmada com os dados disponíveis; pode ser regra de negócio (repasse total) ou erro de exportação.</w:t>
      </w:r>
    </w:p>
    <w:p w14:paraId="17725C16" w14:textId="77777777" w:rsidR="00130AFB" w:rsidRDefault="00BA5616">
      <w:pPr>
        <w:pStyle w:val="PargrafodaLista"/>
        <w:numPr>
          <w:ilvl w:val="0"/>
          <w:numId w:val="1"/>
        </w:numPr>
        <w:spacing w:after="100"/>
      </w:pPr>
      <w:r>
        <w:rPr>
          <w:color w:val="3A3A3A"/>
          <w:sz w:val="21"/>
          <w:szCs w:val="21"/>
        </w:rPr>
        <w:t xml:space="preserve">Parceiros A e B têm datas com choque comum (outlier simultâneo em múltiplos grupos), tratadas via dummy na regressão.</w:t>
      </w:r>
    </w:p>
    <w:p w14:paraId="5D1FB80F" w14:textId="77777777" w:rsidR="00876BBA" w:rsidRPr="00876BBA" w:rsidRDefault="00876BBA" w:rsidP="00876BBA">
      <w:pPr>
        <w:pStyle w:val="Ttulo1"/>
        <w:pBdr>
          <w:bottom w:val="single" w:sz="12" w:space="4" w:color="E5177E"/>
        </w:pBdr>
        <w:spacing w:before="400" w:after="200"/>
      </w:pPr>
      <w:r>
        <w:rPr>
          <w:b/>
          <w:bCs/>
          <w:color w:val="E5177E"/>
          <w:sz w:val="30"/>
          <w:szCs w:val="30"/>
        </w:rPr>
        <w:lastRenderedPageBreak/>
        <w:t>Referências metodológicas</w:t>
      </w:r>
    </w:p>
    <w:p w14:paraId="24E4FF27" w14:textId="77777777" w:rsidR="00876BBA" w:rsidRDefault="00876BBA" w:rsidP="00876BBA">
      <w:pPr>
        <w:spacing w:after="160"/>
      </w:pPr>
      <w:r>
        <w:rPr>
          <w:color w:val="3A3A3A"/>
          <w:sz w:val="21"/>
          <w:szCs w:val="21"/>
        </w:rPr>
        <w:t xml:space="preserve">WOOLDRIDGE, Jeffrey M. </w:t>
      </w:r>
      <w:r>
        <w:rPr>
          <w:rStyle w:val="nfase"/>
          <w:color w:val="3A3A3A"/>
          <w:sz w:val="21"/>
          <w:szCs w:val="21"/>
        </w:rPr>
        <w:t xml:space="preserve">Introductory econometrics: a modern approach</w:t>
      </w:r>
      <w:r>
        <w:rPr>
          <w:color w:val="3A3A3A"/>
          <w:sz w:val="21"/>
          <w:szCs w:val="21"/>
        </w:rPr>
        <w:t xml:space="preserve">. 5. ed. Mason: South-Western Cengage Learning, 2012. (base para teste F conjunto, inferência em regressão múltipla e forma funcional do modelo).</w:t>
      </w:r>
    </w:p>
    <w:p w14:paraId="001D3DA2" w14:textId="77777777" w:rsidR="00876BBA" w:rsidRDefault="00876BBA" w:rsidP="00876BBA">
      <w:pPr>
        <w:spacing w:after="160"/>
      </w:pPr>
      <w:r>
        <w:rPr>
          <w:color w:val="3A3A3A"/>
          <w:sz w:val="21"/>
          <w:szCs w:val="21"/>
        </w:rPr>
        <w:t xml:space="preserve">NEWEY, Whitney K.; WEST, Kenneth D. A Simple, Positive Semi-Definite, Heteroskedasticity and Autocorrelation Consistent Covariance Matrix. </w:t>
      </w:r>
      <w:r>
        <w:rPr>
          <w:rStyle w:val="nfase"/>
          <w:color w:val="3A3A3A"/>
          <w:sz w:val="21"/>
          <w:szCs w:val="21"/>
        </w:rPr>
        <w:t>Econometrica</w:t>
      </w:r>
      <w:r>
        <w:rPr>
          <w:color w:val="3A3A3A"/>
          <w:sz w:val="21"/>
          <w:szCs w:val="21"/>
        </w:rPr>
        <w:t>, v. 55, n. 3, p. 703-708, 1987. (base para os erros-padrão HAC usados na regressão, robustos a heterocedasticidade e autocorrelação serial em dado em série temporal diária).</w:t>
      </w:r>
    </w:p>
    <w:p w14:paraId="7EEBA96D" w14:textId="2E055344" w:rsidR="00876BBA" w:rsidRDefault="00BE0914" w:rsidP="00BE0914">
      <w:pPr>
        <w:spacing w:after="160"/>
      </w:pPr>
      <w:r>
        <w:rPr>
          <w:color w:val="3A3A3A"/>
          <w:sz w:val="21"/>
          <w:szCs w:val="21"/>
        </w:rPr>
        <w:t>RIBEIRO, Rafael S. M. Introdução à Econometria — notas de aula. Centro de Desenvolvimento e Planejamento Regional (CEDEPLAR), Faculdade de Ciências Econômicas (FACE), Universidade Federal de Minas Gerais (UFMG), 2026.</w:t>
      </w:r>
    </w:p>
    <w:sectPr w:rsidR="00876BBA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31A88"/>
    <w:multiLevelType w:val="hybridMultilevel"/>
    <w:tmpl w:val="EDDCCC72"/>
    <w:lvl w:ilvl="0" w:tplc="A516A742">
      <w:start w:val="1"/>
      <w:numFmt w:val="bullet"/>
      <w:lvlText w:val="●"/>
      <w:lvlJc w:val="left"/>
      <w:pPr>
        <w:ind w:left="720" w:hanging="360"/>
      </w:pPr>
    </w:lvl>
    <w:lvl w:ilvl="1" w:tplc="2E32AF7E">
      <w:start w:val="1"/>
      <w:numFmt w:val="bullet"/>
      <w:lvlText w:val="○"/>
      <w:lvlJc w:val="left"/>
      <w:pPr>
        <w:ind w:left="1440" w:hanging="360"/>
      </w:pPr>
    </w:lvl>
    <w:lvl w:ilvl="2" w:tplc="FA8A34E8">
      <w:start w:val="1"/>
      <w:numFmt w:val="bullet"/>
      <w:lvlText w:val="■"/>
      <w:lvlJc w:val="left"/>
      <w:pPr>
        <w:ind w:left="2160" w:hanging="360"/>
      </w:pPr>
    </w:lvl>
    <w:lvl w:ilvl="3" w:tplc="1AEAE644">
      <w:start w:val="1"/>
      <w:numFmt w:val="bullet"/>
      <w:lvlText w:val="●"/>
      <w:lvlJc w:val="left"/>
      <w:pPr>
        <w:ind w:left="2880" w:hanging="360"/>
      </w:pPr>
    </w:lvl>
    <w:lvl w:ilvl="4" w:tplc="4810F2DA">
      <w:start w:val="1"/>
      <w:numFmt w:val="bullet"/>
      <w:lvlText w:val="○"/>
      <w:lvlJc w:val="left"/>
      <w:pPr>
        <w:ind w:left="3600" w:hanging="360"/>
      </w:pPr>
    </w:lvl>
    <w:lvl w:ilvl="5" w:tplc="5B241186">
      <w:start w:val="1"/>
      <w:numFmt w:val="bullet"/>
      <w:lvlText w:val="■"/>
      <w:lvlJc w:val="left"/>
      <w:pPr>
        <w:ind w:left="4320" w:hanging="360"/>
      </w:pPr>
    </w:lvl>
    <w:lvl w:ilvl="6" w:tplc="A8AA2E8C">
      <w:start w:val="1"/>
      <w:numFmt w:val="bullet"/>
      <w:lvlText w:val="●"/>
      <w:lvlJc w:val="left"/>
      <w:pPr>
        <w:ind w:left="5040" w:hanging="360"/>
      </w:pPr>
    </w:lvl>
    <w:lvl w:ilvl="7" w:tplc="0E7C133C">
      <w:start w:val="1"/>
      <w:numFmt w:val="bullet"/>
      <w:lvlText w:val="●"/>
      <w:lvlJc w:val="left"/>
      <w:pPr>
        <w:ind w:left="5760" w:hanging="360"/>
      </w:pPr>
    </w:lvl>
    <w:lvl w:ilvl="8" w:tplc="45285D2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AFB"/>
    <w:rsid w:val="00130AFB"/>
    <w:rsid w:val="00876BBA"/>
    <w:rsid w:val="008C64FB"/>
    <w:rsid w:val="00BA5616"/>
    <w:rsid w:val="00BE0914"/>
    <w:rsid w:val="00F90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3D457"/>
  <w15:docId w15:val="{2EA069EB-2DF9-4126-90C2-ADD8BB97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876BB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876BBA"/>
    <w:rPr>
      <w:b/>
      <w:bCs/>
    </w:rPr>
  </w:style>
  <w:style w:type="character" w:styleId="nfase">
    <w:name w:val="Emphasis"/>
    <w:basedOn w:val="Fontepargpadro"/>
    <w:uiPriority w:val="20"/>
    <w:qFormat/>
    <w:rsid w:val="00876BB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42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1291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Rebeca Prado</cp:lastModifiedBy>
  <cp:revision>5</cp:revision>
  <dcterms:created xsi:type="dcterms:W3CDTF">2026-07-14T00:32:00Z</dcterms:created>
  <dcterms:modified xsi:type="dcterms:W3CDTF">2026-07-14T17:48:00Z</dcterms:modified>
</cp:coreProperties>
</file>