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b/>
          <w:bCs/>
          <w:color w:val="E5177E"/>
          <w:sz w:val="44"/>
          <w:szCs w:val="44"/>
        </w:rPr>
        <w:t xml:space="preserve">MÉLIUZ</w:t>
      </w:r>
    </w:p>
    <w:p>
      <w:pPr>
        <w:spacing w:after="400"/>
      </w:pPr>
      <w:r>
        <w:rPr>
          <w:i/>
          <w:iCs/>
          <w:color w:val="3A3A3A"/>
          <w:sz w:val="24"/>
          <w:szCs w:val="24"/>
        </w:rPr>
        <w:t xml:space="preserve">Time de Growth</w:t>
      </w:r>
    </w:p>
    <w:p>
      <w:pPr>
        <w:pStyle w:val="Title"/>
        <w:spacing w:after="100"/>
      </w:pPr>
      <w:r>
        <w:rPr>
          <w:b/>
          <w:bCs/>
          <w:color w:val="9C0F57"/>
          <w:sz w:val="40"/>
          <w:szCs w:val="40"/>
        </w:rPr>
        <w:t xml:space="preserve">Relatório de Testes A/B — Cashback</w:t>
      </w:r>
    </w:p>
    <w:p>
      <w:pPr>
        <w:spacing w:after="400"/>
      </w:pPr>
    </w:p>
    <w:p>
      <w:pPr>
        <w:pStyle w:val="Heading1"/>
        <w:pBdr>
          <w:bottom w:val="single" w:color="E5177E" w:sz="12" w:space="4"/>
        </w:pBdr>
        <w:spacing w:after="200" w:before="400"/>
      </w:pPr>
      <w:r>
        <w:rPr>
          <w:b/>
          <w:bCs/>
          <w:color w:val="E5177E"/>
          <w:sz w:val="30"/>
          <w:szCs w:val="30"/>
        </w:rPr>
        <w:t xml:space="preserve">Sumário executivo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Foram analisados 3 testes A/B de variação de % de cashback (Parceiros A, B e C), avaliando o impacto na margem líquida diária (comissão − cashback). A decisão de escalar uma variante segue dois filtros aplicados em sequência: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A3A3A"/>
          <w:sz w:val="21"/>
          <w:szCs w:val="21"/>
        </w:rPr>
        <w:t xml:space="preserve">Filtro estatístico — a diferença entre grupos é estatisticamente confiável? (IC95% não cruza zero e a diferença observada é maior que o effect size mínimo detectável, o MDE).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A3A3A"/>
          <w:sz w:val="21"/>
          <w:szCs w:val="21"/>
        </w:rPr>
        <w:t xml:space="preserve">Filtro de negócio — mesmo no cenário mais conservador da incerteza estatística, o ganho ainda compensa o esforço/risco de trocar a variante ativa? (limite inferior do IC95% comparado a um custo mínimo de troca, custo_troca).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9C0F57"/>
          <w:sz w:val="24"/>
          <w:szCs w:val="24"/>
        </w:rPr>
        <w:t xml:space="preserve">Resultado consolidado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FBE1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0F57"/>
                <w:sz w:val="20"/>
                <w:szCs w:val="20"/>
              </w:rPr>
              <w:t xml:space="preserve">Parceiro</w:t>
            </w:r>
          </w:p>
        </w:tc>
        <w:tc>
          <w:tcPr>
            <w:tcW w:type="dxa" w:w="6800"/>
            <w:shd w:fill="FBE1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0F57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Parceiro A</w:t>
            </w:r>
          </w:p>
        </w:tc>
        <w:tc>
          <w:tcPr>
            <w:tcW w:type="dxa" w:w="6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inconclusivo — nenhum grupo supera todos os demais com confiança estatística suficiente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Parceiro B</w:t>
            </w:r>
          </w:p>
        </w:tc>
        <w:tc>
          <w:tcPr>
            <w:tcW w:type="dxa" w:w="6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escalar Grupo 1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Parceiro C</w:t>
            </w:r>
          </w:p>
        </w:tc>
        <w:tc>
          <w:tcPr>
            <w:tcW w:type="dxa" w:w="6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escalar Grupo 1 (caso determinístico)</w:t>
            </w:r>
          </w:p>
        </w:tc>
      </w:tr>
    </w:tbl>
    <w:p>
      <w:pPr>
        <w:pStyle w:val="Heading1"/>
        <w:pBdr>
          <w:bottom w:val="single" w:color="E5177E" w:sz="12" w:space="4"/>
        </w:pBdr>
        <w:spacing w:after="200" w:before="400"/>
      </w:pPr>
      <w:r>
        <w:rPr>
          <w:b/>
          <w:bCs/>
          <w:color w:val="E5177E"/>
          <w:sz w:val="30"/>
          <w:szCs w:val="30"/>
        </w:rPr>
        <w:t xml:space="preserve">Metodologia: como o custo_troca foi definido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custo_troca representa o ganho mínimo de margem (R$/dia) necessário para justificar o esforço e o risco de escalar uma variante para 100% do tráfego. Não é derivado estatisticamente dos dados — é uma estimativa de negócio, calculada aqui como o maior valor entre dois pisos: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A3A3A"/>
          <w:sz w:val="21"/>
          <w:szCs w:val="21"/>
        </w:rPr>
        <w:t xml:space="preserve">Custo operacional amortizado: tempo estimado de trabalho para reconfigurar a variante ativa, convertido em R$/dia ao longo do período esperado de vigência da mudança. Estimativa ilustrativa: 6h de trabalho, a uma taxa de ~R$15,15/hora (baseada em pesquisa de salário médio de estágio em Growth/IA no Brasil, ~R$2.000/mês), amortizado em 30 dias — resultando em ~R$3,03/dia.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A3A3A"/>
          <w:sz w:val="21"/>
          <w:szCs w:val="21"/>
        </w:rPr>
        <w:t xml:space="preserve">1,5× o desvio-padrão diário (pooled, entre todos os grupos) da margem de cada parceiro: um piso de "ruído natural do negócio" — ganhos menores que isso se perdem na variação que a operação já tem no dia a dia, mesmo sem nenhuma mudança.</w:t>
      </w:r>
    </w:p>
    <w:p>
      <w:pPr>
        <w:pStyle w:val="Heading2"/>
        <w:spacing w:after="150" w:before="300"/>
      </w:pPr>
      <w:r>
        <w:rPr>
          <w:b/>
          <w:bCs/>
          <w:color w:val="9C0F57"/>
          <w:sz w:val="24"/>
          <w:szCs w:val="24"/>
        </w:rPr>
        <w:t xml:space="preserve">Por que o maior dos dois, e não a soma ou a média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mudança precisa, simultaneamente, cobrir o custo de implementá-la E ser grande o suficiente para não se perder no ruído natural do negócio. Usar o máximo garante que os dois critérios sejam satisfeitos ao mesmo tempo.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Testamos a sensibilidade do custo operacional variando de 4h/15 dias a 6h/30 dias (R$3 a R$21/dia) — em ambos os parceiros com incerteza estatística (A e B), o desvio-padrão domina o cálculo com folga, e o resultado final da decisão não muda. Isto é, a decisão de escalar ou não depende principalmente da variação natural do negócio, não da premissa (mais arbitrária) de custo operacional.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Como os dados não identificam explicitamente qual grupo era o controle (variante já existente antes do teste), usamos o desvio-padrão pooled entre todos os grupos de cada parceiro, evitando adicionar uma suposição não verificável sobre qual grupo era o baseline.</w:t>
      </w:r>
    </w:p>
    <w:p>
      <w:pPr>
        <w:pStyle w:val="Heading2"/>
        <w:spacing w:after="150" w:before="300"/>
      </w:pPr>
      <w:r>
        <w:rPr>
          <w:b/>
          <w:bCs/>
          <w:color w:val="9C0F57"/>
          <w:sz w:val="24"/>
          <w:szCs w:val="24"/>
        </w:rPr>
        <w:t xml:space="preserve">Sensibilidade do multiplicador (1,5×)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multiplicador 1,5× (aplicado ao desvio-padrão pooled) também é uma escolha de calibração, não um valor derivado estatisticamente -- representa uma margem de segurança acima de 1 desvio-padrão puro, sem ser tão conservador quanto 2×. Testamos como a decisão se comporta variando esse multiplicador de 1× a 2×: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600"/>
      </w:tblGrid>
      <w:tr>
        <w:trPr>
          <w:tblHeader/>
        </w:trPr>
        <w:tc>
          <w:tcPr>
            <w:tcW w:type="dxa" w:w="1400"/>
            <w:shd w:fill="FBE1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0F57"/>
                <w:sz w:val="20"/>
                <w:szCs w:val="20"/>
              </w:rPr>
              <w:t xml:space="preserve">Parceiro</w:t>
            </w:r>
          </w:p>
        </w:tc>
        <w:tc>
          <w:tcPr>
            <w:tcW w:type="dxa" w:w="2600"/>
            <w:shd w:fill="FBE1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0F57"/>
                <w:sz w:val="20"/>
                <w:szCs w:val="20"/>
              </w:rPr>
              <w:t xml:space="preserve">1×</w:t>
            </w:r>
          </w:p>
        </w:tc>
        <w:tc>
          <w:tcPr>
            <w:tcW w:type="dxa" w:w="2600"/>
            <w:shd w:fill="FBE1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0F57"/>
                <w:sz w:val="20"/>
                <w:szCs w:val="20"/>
              </w:rPr>
              <w:t xml:space="preserve">1,5× (usado)</w:t>
            </w:r>
          </w:p>
        </w:tc>
        <w:tc>
          <w:tcPr>
            <w:tcW w:type="dxa" w:w="2600"/>
            <w:shd w:fill="FBE1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0F57"/>
                <w:sz w:val="20"/>
                <w:szCs w:val="20"/>
              </w:rPr>
              <w:t xml:space="preserve">2×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inconclusivo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inconclusivo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inconclusivo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escalar Grupo 1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escalar Grupo 1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não compensa o risco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não se aplica (caso determinístico)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não se aplica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Parceiro A é robusto à escolha do multiplicador -- a decisão permanece "inconclusivo" em toda a faixa testada. Parceiro B tem um ponto de virada: em 2× o pooled (custo_troca = R$ 2.563,76/dia), a diferença deixa de compensar o risco de troca, revertendo a recomendação de "escalar" para "manter controle". Isso mostra que a decisão do Parceiro B, embora sólida em 1,5×, tem uma margem de segurança menor que a do Parceiro A -- informação relevante para quem for validar o custo_troca definitivo com o time de growth.</w:t>
      </w:r>
    </w:p>
    <w:p>
      <w:pPr>
        <w:pStyle w:val="Heading1"/>
        <w:pBdr>
          <w:bottom w:val="single" w:color="E5177E" w:sz="12" w:space="4"/>
        </w:pBdr>
        <w:spacing w:after="200" w:before="400"/>
      </w:pPr>
      <w:r>
        <w:rPr>
          <w:b/>
          <w:bCs/>
          <w:color w:val="E5177E"/>
          <w:sz w:val="30"/>
          <w:szCs w:val="30"/>
        </w:rPr>
        <w:t xml:space="preserve">Parceiro A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Período analisado: 01/01/2011 a 02/04/2011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Grupos testados: Grupo 1, Grupo 2, Grupo 3</w:t>
      </w:r>
    </w:p>
    <w:p>
      <w:pPr>
        <w:pStyle w:val="Heading2"/>
        <w:spacing w:after="150" w:before="300"/>
      </w:pPr>
      <w:r>
        <w:rPr>
          <w:b/>
          <w:bCs/>
          <w:color w:val="9C0F57"/>
          <w:sz w:val="24"/>
          <w:szCs w:val="24"/>
        </w:rPr>
        <w:t xml:space="preserve">Resultado estatístico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FBE1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0F57"/>
                <w:sz w:val="20"/>
                <w:szCs w:val="20"/>
              </w:rPr>
              <w:t xml:space="preserve">Grupo</w:t>
            </w:r>
          </w:p>
        </w:tc>
        <w:tc>
          <w:tcPr>
            <w:tcW w:type="dxa" w:w="3000"/>
            <w:shd w:fill="FBE1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0F57"/>
                <w:sz w:val="20"/>
                <w:szCs w:val="20"/>
              </w:rPr>
              <w:t xml:space="preserve">Margem média (R$/dia)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Grupo 1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4.399,03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Grupo 2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3.886,08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Grupo 3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2.872,68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Teste F conjunto: p = 0,0014 (diferença significativa entre grupos).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Effect size mínimo detectável (MDE): R$ 1.169,76/dia — diferenças menores que isso não têm poder estatístico suficiente para serem confiáveis, dado o tamanho da amostra.</w:t>
      </w:r>
    </w:p>
    <w:p>
      <w:pPr>
        <w:pStyle w:val="Heading2"/>
        <w:spacing w:after="150" w:before="300"/>
      </w:pPr>
      <w:r>
        <w:rPr>
          <w:b/>
          <w:bCs/>
          <w:color w:val="9C0F57"/>
          <w:sz w:val="24"/>
          <w:szCs w:val="24"/>
        </w:rPr>
        <w:t xml:space="preserve">Filtro de negócio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custo_troca aplicado: R$ 3.041,68/dia (ver metodologia). A decisão só recomenda escalar uma variante se o limite inferior do IC95% da diferença superar esse valor.</w:t>
      </w:r>
    </w:p>
    <w:p>
      <w:pPr>
        <w:pStyle w:val="Heading2"/>
        <w:spacing w:after="150" w:before="300"/>
      </w:pPr>
      <w:r>
        <w:rPr>
          <w:b/>
          <w:bCs/>
          <w:color w:val="9C0F57"/>
          <w:sz w:val="24"/>
          <w:szCs w:val="24"/>
        </w:rPr>
        <w:t xml:space="preserve">Decisão final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5177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DECISÃO: INCONCLUSIVO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Apesar do teste F conjunto indicar diferença significativa entre os grupos, nenhum grupo supera todos os demais simultaneamente com confiança estatística — Grupo 1 e Grupo 2 batem o Grupo 3, mas a diferença entre Grupo 1 e Grupo 2 não é confiável o suficiente (fica abaixo do MDE). Recomenda-se re-teste com maior N ou investigação adicional antes de escalar qualquer variante.</w:t>
      </w:r>
    </w:p>
    <w:p>
      <w:pPr>
        <w:pStyle w:val="Heading1"/>
        <w:pBdr>
          <w:bottom w:val="single" w:color="E5177E" w:sz="12" w:space="4"/>
        </w:pBdr>
        <w:spacing w:after="200" w:before="400"/>
      </w:pPr>
      <w:r>
        <w:rPr>
          <w:b/>
          <w:bCs/>
          <w:color w:val="E5177E"/>
          <w:sz w:val="30"/>
          <w:szCs w:val="30"/>
        </w:rPr>
        <w:t xml:space="preserve">Parceiro B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Período analisado: 01/05/2011 a 30/06/2011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Grupos testados: Grupo 1, Grupo 2, Grupo 3</w:t>
      </w:r>
    </w:p>
    <w:p>
      <w:pPr>
        <w:pStyle w:val="Heading2"/>
        <w:spacing w:after="150" w:before="300"/>
      </w:pPr>
      <w:r>
        <w:rPr>
          <w:b/>
          <w:bCs/>
          <w:color w:val="9C0F57"/>
          <w:sz w:val="24"/>
          <w:szCs w:val="24"/>
        </w:rPr>
        <w:t xml:space="preserve">Resultado estatístico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FBE1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0F57"/>
                <w:sz w:val="20"/>
                <w:szCs w:val="20"/>
              </w:rPr>
              <w:t xml:space="preserve">Grupo</w:t>
            </w:r>
          </w:p>
        </w:tc>
        <w:tc>
          <w:tcPr>
            <w:tcW w:type="dxa" w:w="3000"/>
            <w:shd w:fill="FBE1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0F57"/>
                <w:sz w:val="20"/>
                <w:szCs w:val="20"/>
              </w:rPr>
              <w:t xml:space="preserve">Margem média (R$/dia)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Grupo 1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4.697,87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Grupo 2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2.346,84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Grupo 3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862,18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Teste F conjunto: p = 0,0000 (diferença significativa entre grupos).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Effect size mínimo detectável (MDE): R$ 461,17/dia — diferenças menores que isso não têm poder estatístico suficiente para serem confiáveis, dado o tamanho da amostra.</w:t>
      </w:r>
    </w:p>
    <w:p>
      <w:pPr>
        <w:pStyle w:val="Heading2"/>
        <w:spacing w:after="150" w:before="300"/>
      </w:pPr>
      <w:r>
        <w:rPr>
          <w:b/>
          <w:bCs/>
          <w:color w:val="9C0F57"/>
          <w:sz w:val="24"/>
          <w:szCs w:val="24"/>
        </w:rPr>
        <w:t xml:space="preserve">Filtro de negócio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custo_troca aplicado: R$ 1.922,82/dia (ver metodologia). A decisão só recomenda escalar uma variante se o limite inferior do IC95% da diferença superar esse valor.</w:t>
      </w:r>
    </w:p>
    <w:p>
      <w:pPr>
        <w:pStyle w:val="Heading2"/>
        <w:spacing w:after="150" w:before="300"/>
      </w:pPr>
      <w:r>
        <w:rPr>
          <w:b/>
          <w:bCs/>
          <w:color w:val="9C0F57"/>
          <w:sz w:val="24"/>
          <w:szCs w:val="24"/>
        </w:rPr>
        <w:t xml:space="preserve">Decisão final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5177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DECISÃO: ESCALAR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Grupo 1 supera todos os demais grupos com diferença estatisticamente confiável (IC95% + MDE) e economicamente relevante (limite inferior do IC95% acima do custo de troca de R$ 1.922,82/dia). Recomenda-se escalar Grupo 1 para 100% do tráfego.</w:t>
      </w:r>
    </w:p>
    <w:p>
      <w:pPr>
        <w:pStyle w:val="Heading1"/>
        <w:pBdr>
          <w:bottom w:val="single" w:color="E5177E" w:sz="12" w:space="4"/>
        </w:pBdr>
        <w:spacing w:after="200" w:before="400"/>
      </w:pPr>
      <w:r>
        <w:rPr>
          <w:b/>
          <w:bCs/>
          <w:color w:val="E5177E"/>
          <w:sz w:val="30"/>
          <w:szCs w:val="30"/>
        </w:rPr>
        <w:t xml:space="preserve">Parceiro C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Período analisado: 01/07/2011 a 14/08/2011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Grupos testados: Grupo 1, Grupo 2</w:t>
      </w:r>
    </w:p>
    <w:p>
      <w:pPr>
        <w:pStyle w:val="Heading2"/>
        <w:spacing w:after="150" w:before="300"/>
      </w:pPr>
      <w:r>
        <w:rPr>
          <w:b/>
          <w:bCs/>
          <w:color w:val="9C0F57"/>
          <w:sz w:val="24"/>
          <w:szCs w:val="24"/>
        </w:rPr>
        <w:t xml:space="preserve">Resultado estatístico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FBE1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0F57"/>
                <w:sz w:val="20"/>
                <w:szCs w:val="20"/>
              </w:rPr>
              <w:t xml:space="preserve">Grupo</w:t>
            </w:r>
          </w:p>
        </w:tc>
        <w:tc>
          <w:tcPr>
            <w:tcW w:type="dxa" w:w="3000"/>
            <w:shd w:fill="FBE1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0F57"/>
                <w:sz w:val="20"/>
                <w:szCs w:val="20"/>
              </w:rPr>
              <w:t xml:space="preserve">Margem média (R$/dia)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Grupo 1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772,64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Grupo 2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3A3A3A"/>
                <w:sz w:val="20"/>
                <w:szCs w:val="20"/>
              </w:rPr>
              <w:t xml:space="preserve">0,00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Caso determinístico: pelo menos um grupo apresenta variância zero, dispensando teste estatístico.</w:t>
      </w:r>
    </w:p>
    <w:p>
      <w:pPr>
        <w:pStyle w:val="Heading2"/>
        <w:spacing w:after="150" w:before="300"/>
      </w:pPr>
      <w:r>
        <w:rPr>
          <w:b/>
          <w:bCs/>
          <w:color w:val="9C0F57"/>
          <w:sz w:val="24"/>
          <w:szCs w:val="24"/>
        </w:rPr>
        <w:t xml:space="preserve">Filtro de negócio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custo_troca não se aplica neste caso (diferença determinística, sem incerteza a considerar).</w:t>
      </w:r>
    </w:p>
    <w:p>
      <w:pPr>
        <w:pStyle w:val="Heading2"/>
        <w:spacing w:after="150" w:before="300"/>
      </w:pPr>
      <w:r>
        <w:rPr>
          <w:b/>
          <w:bCs/>
          <w:color w:val="9C0F57"/>
          <w:sz w:val="24"/>
          <w:szCs w:val="24"/>
        </w:rPr>
        <w:t xml:space="preserve">Decisão final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5177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DECISÃO: ESCALAR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Diferença determinística: o Grupo 2 apresenta margem zero em 100% dos dias (cashback distribuído é idêntico à comissão recebida em todas as observações), enquanto o Grupo 1 mantém margem média de R$ 772,64/dia. Não há incerteza a testar — a diferença é certa, não estimada.</w:t>
      </w:r>
    </w:p>
    <w:p>
      <w:pPr>
        <w:spacing w:after="160"/>
      </w:pPr>
      <w:r>
        <w:rPr>
          <w:b/>
          <w:bCs/>
          <w:i/>
          <w:iCs/>
          <w:color w:val="3A3A3A"/>
          <w:sz w:val="21"/>
          <w:szCs w:val="21"/>
        </w:rPr>
        <w:t xml:space="preserve">⚠ Nota de atenção: o cashback do Grupo 2 é idêntico à comissão em 100% das linhas, zerando a margem — vale confirmar com o time se isso é uma regra de negócio intencional (repasse total) ou um erro de exportação de dados antes de tratar essa decisão como definitiva.</w:t>
      </w:r>
    </w:p>
    <w:p>
      <w:pPr>
        <w:pStyle w:val="Heading1"/>
        <w:pBdr>
          <w:bottom w:val="single" w:color="E5177E" w:sz="12" w:space="4"/>
        </w:pBdr>
        <w:spacing w:after="200" w:before="400"/>
      </w:pPr>
      <w:r>
        <w:rPr>
          <w:b/>
          <w:bCs/>
          <w:color w:val="E5177E"/>
          <w:sz w:val="30"/>
          <w:szCs w:val="30"/>
        </w:rPr>
        <w:t xml:space="preserve">Limitações e próximos passos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A3A3A"/>
          <w:sz w:val="21"/>
          <w:szCs w:val="21"/>
        </w:rPr>
        <w:t xml:space="preserve">O custo_troca usado aqui é uma estimativa ilustrativa (ver metodologia); recomenda-se substituí-lo por um número validado com o time de growth/engenharia antes de uso definitivo em produção.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A3A3A"/>
          <w:sz w:val="21"/>
          <w:szCs w:val="21"/>
        </w:rPr>
        <w:t xml:space="preserve">Parceiro A requer re-teste ou aumento de amostra para permitir uma decisão conclusiva.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A3A3A"/>
          <w:sz w:val="21"/>
          <w:szCs w:val="21"/>
        </w:rPr>
        <w:t xml:space="preserve">Parceiro C requer validação da origem do dado do Grupo 2 (margem zero) antes de tratar a decisão como definitiva.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2026-07-14T00:32:41.011Z</dcterms:created>
  <dcterms:modified xsi:type="dcterms:W3CDTF">2026-07-14T00:32:41.011Z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