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Briefing de marketing</w:t>
      </w:r>
    </w:p>
    <w:p>
      <w:pPr>
        <w:pStyle w:val="Subtitle"/>
      </w:pPr>
      <w:r>
        <w:t>Lothem Inteligência em Crédito</w:t>
      </w:r>
    </w:p>
    <w:p>
      <w:r>
        <w:t>Nossa prioridade é atrair empresários ao funil do diagnóstico pago e oferecer a consultoria quando ela fizer sentido para o caso. A comunicação deve mostrar o valor da análise, da organização dos dados e da orientação para buscar crédito.</w:t>
      </w:r>
    </w:p>
    <w:p>
      <w:pPr>
        <w:pStyle w:val="Heading1"/>
      </w:pPr>
      <w:r>
        <w:t>1 O negócio</w:t>
      </w:r>
    </w:p>
    <w:p>
      <w:r>
        <w:rPr>
          <w:b/>
        </w:rPr>
        <w:t xml:space="preserve">Em uma frase </w:t>
      </w:r>
      <w:r>
        <w:t>A gente ajuda o empresário a entender o perfil de crédito da empresa e dos sócios, organizar o que precisa de ajuste e identificar caminhos de crédito compatíveis com o negócio.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2520"/>
        <w:gridCol w:w="5285"/>
        <w:gridCol w:w="2362"/>
      </w:tblGrid>
      <w:tr>
        <w:trPr>
          <w:cantSplit/>
          <w:tblHeader/>
        </w:trPr>
        <w:tc>
          <w:tcPr>
            <w:tcW w:type="dxa" w:w="2520"/>
            <w:vAlign w:val="center"/>
            <w:shd w:fill="132C3C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Produto ou serviço</w:t>
            </w:r>
          </w:p>
        </w:tc>
        <w:tc>
          <w:tcPr>
            <w:tcW w:type="dxa" w:w="5285"/>
            <w:vAlign w:val="center"/>
            <w:shd w:fill="132C3C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Entrega principal</w:t>
            </w:r>
          </w:p>
        </w:tc>
        <w:tc>
          <w:tcPr>
            <w:tcW w:type="dxa" w:w="2362"/>
            <w:vAlign w:val="center"/>
            <w:shd w:fill="132C3C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Preço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Diagnóstico PF</w:t>
            </w:r>
          </w:p>
        </w:tc>
        <w:tc>
          <w:tcPr>
            <w:tcW w:type="dxa" w:w="5285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Leitura do perfil da pessoa física, informações disponíveis e pontos de atenção.</w:t>
            </w:r>
          </w:p>
        </w:tc>
        <w:tc>
          <w:tcPr>
            <w:tcW w:type="dxa" w:w="2362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Valor por modalidade a confirmar.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Diagnóstico PJ</w:t>
            </w:r>
          </w:p>
        </w:tc>
        <w:tc>
          <w:tcPr>
            <w:tcW w:type="dxa" w:w="5285"/>
            <w:vAlign w:val="center"/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Leitura do CNPJ, cadastro, faturamento, compromissos e perfil de crédito.</w:t>
            </w:r>
          </w:p>
        </w:tc>
        <w:tc>
          <w:tcPr>
            <w:tcW w:type="dxa" w:w="2362"/>
            <w:vAlign w:val="center"/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Valor por modalidade a confirmar.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Diagnóstico com Rota de Crédito</w:t>
            </w:r>
          </w:p>
        </w:tc>
        <w:tc>
          <w:tcPr>
            <w:tcW w:type="dxa" w:w="5285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Análise e alternativas a avaliar hoje e após os ajustes necessários, com próximos passos.</w:t>
            </w:r>
          </w:p>
        </w:tc>
        <w:tc>
          <w:tcPr>
            <w:tcW w:type="dxa" w:w="2362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Escopo e valor total a confirmar.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Ebook A Caixa Preta dos Bancos</w:t>
            </w:r>
          </w:p>
        </w:tc>
        <w:tc>
          <w:tcPr>
            <w:tcW w:type="dxa" w:w="5285"/>
            <w:vAlign w:val="center"/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Guia educativo sobre análise de crédito e preparação PF e PJ; produto complementar.</w:t>
            </w:r>
          </w:p>
        </w:tc>
        <w:tc>
          <w:tcPr>
            <w:tcW w:type="dxa" w:w="2362"/>
            <w:vAlign w:val="center"/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R$ 197 já utilizado anteriormente; confirmar preço vigente.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Consultoria de crédito</w:t>
            </w:r>
          </w:p>
        </w:tc>
        <w:tc>
          <w:tcPr>
            <w:tcW w:type="dxa" w:w="5285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Diagnóstico, plano de ação, organização cadastral e documental, dossiê e apoio à busca de crédito.</w:t>
            </w:r>
          </w:p>
        </w:tc>
        <w:tc>
          <w:tcPr>
            <w:tcW w:type="dxa" w:w="2362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R$ 4.697 já utilizado anteriormente; confirmar preço e condições vigentes.</w:t>
            </w:r>
          </w:p>
        </w:tc>
      </w:tr>
    </w:tbl>
    <w:p>
      <w:pPr>
        <w:spacing w:after="40"/>
      </w:pPr>
    </w:p>
    <w:p>
      <w:r>
        <w:rPr>
          <w:b/>
        </w:rPr>
        <w:t xml:space="preserve">Preço de entrada </w:t>
      </w:r>
      <w:r>
        <w:t>O Diagnóstico de Crédito Lothem já foi comunicado a partir de R$ 149, com pagamento único e sem mensalidade. Confirmar qual modalidade, participantes e devolutiva estão incluídos nesse valor. A reunião não precisa aparecer no nome do produto.</w:t>
      </w:r>
    </w:p>
    <w:p>
      <w:r>
        <w:rPr>
          <w:b/>
        </w:rPr>
        <w:t xml:space="preserve">Atuação </w:t>
      </w:r>
      <w:r>
        <w:t>Sumaré, Campinas e região, com atendimento remoto para todo o Brasil.</w:t>
      </w:r>
    </w:p>
    <w:p>
      <w:r>
        <w:rPr>
          <w:b/>
        </w:rPr>
        <w:t xml:space="preserve">Ticket médio e gasto anual </w:t>
      </w:r>
      <w:r>
        <w:t>A confirmar com as vendas realizadas. O diagnóstico é uma compra avulsa. Não há modelo anual recorrente confirmado.</w:t>
      </w:r>
    </w:p>
    <w:p>
      <w:r>
        <w:rPr>
          <w:b/>
        </w:rPr>
        <w:t xml:space="preserve">Histórico </w:t>
      </w:r>
      <w:r>
        <w:t>Tempo de existência da Lothem e quantidade de clientes ativos: a confirmar. A experiência profissional da Rebeca não deve ser usada como idade da empresa.</w:t>
      </w:r>
    </w:p>
    <w:p>
      <w:r>
        <w:rPr>
          <w:b/>
        </w:rPr>
        <w:t xml:space="preserve">Rentabilidade </w:t>
      </w:r>
      <w:r>
        <w:t>Margem por produto: a confirmar com custos de aquisição, consultas, análise e atendimento. A prioridade comercial é usar o diagnóstico como entrada e a consultoria como continuidade para os casos aderentes.</w:t>
      </w:r>
    </w:p>
    <w:p>
      <w:pPr>
        <w:pStyle w:val="Heading1"/>
      </w:pPr>
      <w:r>
        <w:t>2 Objetivo</w:t>
      </w:r>
    </w:p>
    <w:p>
      <w:r>
        <w:rPr>
          <w:b/>
        </w:rPr>
        <w:t xml:space="preserve">Próximos 90 dias </w:t>
      </w:r>
      <w:r>
        <w:t>Gerar vendas de diagnósticos pagos pelo funil, atrair empresários com intenção e capacidade de contratar e converter os casos adequados em consultoria.</w:t>
      </w:r>
    </w:p>
    <w:p>
      <w:r>
        <w:rPr>
          <w:b/>
        </w:rPr>
        <w:t xml:space="preserve">Metas numéricas </w:t>
      </w:r>
      <w:r>
        <w:t>Diagnósticos pagos por mês: a definir. Consultorias contratadas por mês: a definir. Receita em 90 dias: a definir. Acompanhar também custo por comprador, conversão do funil, presença na devolutiva e conversão em consultoria.</w:t>
      </w:r>
    </w:p>
    <w:p>
      <w:r>
        <w:rPr>
          <w:b/>
        </w:rPr>
        <w:t xml:space="preserve">Verba </w:t>
      </w:r>
      <w:r>
        <w:t>Valor mensal a confirmar. Separar mídia paga de criação, gestão, ferramentas e custos do v0. Não há orçamento validado para transformar esses campos em metas de venda.</w:t>
      </w:r>
    </w:p>
    <w:p>
      <w:r>
        <w:rPr>
          <w:b/>
        </w:rPr>
        <w:t xml:space="preserve">Por que agora </w:t>
      </w:r>
      <w:r>
        <w:t>A oferta de pré-análise gratuita atraiu contatos desqualificados. Precisamos comunicar o valor do diagnóstico pago e melhorar a qualidade das oportunidades que chegam ao atendimento.</w:t>
      </w:r>
    </w:p>
    <w:p>
      <w:r>
        <w:rPr>
          <w:b/>
        </w:rPr>
        <w:t xml:space="preserve">Direção de trabalho </w:t>
      </w:r>
      <w:r>
        <w:t>Proposta de execução: no primeiro mês, alinhar oferta, materiais e medição; no segundo, testar criativos e qualificação; no terceiro, ampliar os anúncios que gerarem compradores e contratos com margem.</w:t>
      </w:r>
    </w:p>
    <w:p>
      <w:pPr>
        <w:pStyle w:val="Heading1"/>
      </w:pPr>
      <w:r>
        <w:t>3 Cliente ideal</w:t>
      </w:r>
    </w:p>
    <w:p>
      <w:r>
        <w:rPr>
          <w:b/>
        </w:rPr>
        <w:t xml:space="preserve">Quem compra </w:t>
      </w:r>
      <w:r>
        <w:t>Dono, sócio ou gestor que participa da decisão financeira de uma micro ou pequena empresa em atividade. Busca capital de giro, expansão, equipamentos ou reorganização das dívidas. Segmentos prioritários e faixa de faturamento para mídia: a confirmar.</w:t>
      </w:r>
    </w:p>
    <w:p>
      <w:r>
        <w:rPr>
          <w:b/>
        </w:rPr>
        <w:t xml:space="preserve">Perfil para prospecção </w:t>
      </w:r>
      <w:r>
        <w:t>Para as operações PJ descritas no checklist, priorizar empresas com pelo menos um ano de atividade, faturamento comprovável e documentação organizada. Fachada, endereço e alterações societárias devem ser conferidos conforme a operação pretendida. São critérios de qualificação do caso, não regras universais de todo crédito.</w:t>
      </w:r>
    </w:p>
    <w:p>
      <w:r>
        <w:rPr>
          <w:b/>
        </w:rPr>
        <w:t xml:space="preserve">Dor imediata </w:t>
      </w:r>
      <w:r>
        <w:t>Precisa de dinheiro para a empresa, recebeu uma negativa ou não sabe por que o crédito não avança. Tem dificuldade para entender quais dados pesam na análise e qual linha combina com seu objetivo.</w:t>
      </w:r>
    </w:p>
    <w:p>
      <w:r>
        <w:rPr>
          <w:b/>
        </w:rPr>
        <w:t xml:space="preserve">Como expressar a dor </w:t>
      </w:r>
      <w:r>
        <w:t>“Minha empresa fatura, mas o banco não aprova.” “Preciso de capital para crescer.” “Não sei o que está travando meu CNPJ.” São exemplos de linguagem para copy; frases literais de atendimento ainda precisam ser coletadas e autorizadas.</w:t>
      </w:r>
    </w:p>
    <w:p>
      <w:r>
        <w:rPr>
          <w:b/>
        </w:rPr>
        <w:t xml:space="preserve">Decisão e influência </w:t>
      </w:r>
      <w:r>
        <w:t>O empresário ou os sócios decidem. Contador, responsável financeiro e outros participantes da operação podem influenciar a documentação e a escolha.</w:t>
      </w:r>
    </w:p>
    <w:p>
      <w:r>
        <w:rPr>
          <w:b/>
        </w:rPr>
        <w:t xml:space="preserve">Objeções </w:t>
      </w:r>
      <w:r>
        <w:t>Medo de pagar e receber apenas um relatório genérico; dúvida sobre confiança, prazo, confidencialidade e o que está incluído; expectativa de que o pagamento compre a aprovação do empréstimo.</w:t>
      </w:r>
    </w:p>
    <w:p>
      <w:r>
        <w:rPr>
          <w:b/>
        </w:rPr>
        <w:t xml:space="preserve">Quem evitar </w:t>
      </w:r>
      <w:r>
        <w:t>Quem busca somente serviço gratuito, exige liberação imediata ou garantida, recusa comprovar informações ou quer manipular documentos. Uma restrição, por si só, não exclui a compra do diagnóstico; pode mudar a rota e a viabilidade de uma operação.</w:t>
      </w:r>
    </w:p>
    <w:p>
      <w:pPr>
        <w:pStyle w:val="Heading1"/>
      </w:pPr>
      <w:r>
        <w:t>4 Diferencial e provas</w:t>
      </w:r>
    </w:p>
    <w:p>
      <w:r>
        <w:rPr>
          <w:b/>
        </w:rPr>
        <w:t xml:space="preserve">Especialista à frente </w:t>
      </w:r>
      <w:r>
        <w:t>Rebeca Macedo é apresentada como ex-analista de crédito PF e PJ. Seu relato profissional informa três anos de atuação bancária. Essa experiência dá contexto à leitura e à explicação dos dados; comprovação profissional deve acompanhar apresentações institucionais quando necessária.</w:t>
      </w:r>
    </w:p>
    <w:p>
      <w:r>
        <w:rPr>
          <w:b/>
        </w:rPr>
        <w:t xml:space="preserve">Valor da entrega </w:t>
      </w:r>
      <w:r>
        <w:t>Relacionamos o caso da empresa ao dos sócios incluídos na contratação. Entregamos uma leitura individual e uma rota que distingue alternativas a avaliar no perfil atual das possibilidades condicionadas à organização dos pontos identificados.</w:t>
      </w:r>
    </w:p>
    <w:p>
      <w:r>
        <w:rPr>
          <w:b/>
        </w:rPr>
        <w:t xml:space="preserve">Continuidade </w:t>
      </w:r>
      <w:r>
        <w:t>O diagnóstico tem entrega própria, mesmo que o cliente não contrate a consultoria. A proposta posterior trata da execução dos ajustes e do acompanhamento previsto no escopo.</w:t>
      </w:r>
    </w:p>
    <w:p>
      <w:r>
        <w:rPr>
          <w:b/>
        </w:rPr>
        <w:t xml:space="preserve">Provas disponíveis </w:t>
      </w:r>
      <w:r>
        <w:t>Há exemplos de diagnósticos PF e PJ, rotas, ebook e materiais de boas-vindas. Eles demonstram método e formato de entrega. Cases de crédito aprovado, depoimentos autorizados, números consolidados, certificações e prêmios: a confirmar. Relatórios com divergências precisam de revisão antes de uso comercial.</w:t>
      </w:r>
    </w:p>
    <w:p>
      <w:r>
        <w:rPr>
          <w:b/>
        </w:rPr>
        <w:t xml:space="preserve">Condições da oferta </w:t>
      </w:r>
      <w:r>
        <w:t>O diagnóstico é pago. Não anunciar pré-análise gratuita. Garantia comercial, teste, cancelamento, reembolso e eventual abatimento na consultoria precisam seguir condições vigentes; não há garantia de aprovação comprovada nos materiais recebidos.</w:t>
      </w:r>
    </w:p>
    <w:p>
      <w:pPr>
        <w:pStyle w:val="Heading1"/>
      </w:pPr>
      <w:r>
        <w:t>5 Concorrência</w:t>
      </w:r>
    </w:p>
    <w:p>
      <w:r>
        <w:t>Mapeamento inicial de empresas com serviços relacionados. A opinião da Rebeca sobre cada concorrente e os nomes que ela admira ainda precisam ser confirmados.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800"/>
        <w:gridCol w:w="3888"/>
        <w:gridCol w:w="4478"/>
      </w:tblGrid>
      <w:tr>
        <w:trPr>
          <w:cantSplit/>
          <w:tblHeader/>
        </w:trPr>
        <w:tc>
          <w:tcPr>
            <w:tcW w:type="dxa" w:w="1800"/>
            <w:vAlign w:val="center"/>
            <w:shd w:fill="132C3C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Empresa</w:t>
            </w:r>
          </w:p>
        </w:tc>
        <w:tc>
          <w:tcPr>
            <w:tcW w:type="dxa" w:w="3888"/>
            <w:vAlign w:val="center"/>
            <w:shd w:fill="132C3C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Comunicação observável</w:t>
            </w:r>
          </w:p>
        </w:tc>
        <w:tc>
          <w:tcPr>
            <w:tcW w:type="dxa" w:w="4478"/>
            <w:vAlign w:val="center"/>
            <w:shd w:fill="132C3C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O que observar para a Lothem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Alora Capital</w:t>
            </w:r>
          </w:p>
        </w:tc>
        <w:tc>
          <w:tcPr>
            <w:tcW w:type="dxa" w:w="3888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Divulga diagnóstico e busca de financiamento em múltiplas instituições.</w:t>
            </w:r>
          </w:p>
        </w:tc>
        <w:tc>
          <w:tcPr>
            <w:tcW w:type="dxa" w:w="4478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Observar a qualificação por objetivo e faturamento. Sua chamada gratuita não corresponde à estratégia paga da Lothem.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Germina Finance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Apresenta análise e estruturação de crédito, capital de giro e linhas públicas.</w:t>
            </w:r>
          </w:p>
        </w:tc>
        <w:tc>
          <w:tcPr>
            <w:tcW w:type="dxa" w:w="4478"/>
            <w:vAlign w:val="center"/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Observar a explicação das finalidades e o contexto financeiro da operação.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Blue Banker</w:t>
            </w:r>
          </w:p>
        </w:tc>
        <w:tc>
          <w:tcPr>
            <w:tcW w:type="dxa" w:w="3888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Organiza a oferta PJ por capital de giro, recebíveis, BNDES/Pronampe e estruturação financeira.</w:t>
            </w:r>
          </w:p>
        </w:tc>
        <w:tc>
          <w:tcPr>
            <w:tcW w:type="dxa" w:w="4478"/>
            <w:vAlign w:val="center"/>
            <w:shd w:fill="F3F5F6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color w:val="000000"/>
                <w:sz w:val="21"/>
              </w:rPr>
              <w:t>Observar a organização dos serviços por necessidade da empresa.</w:t>
            </w:r>
          </w:p>
        </w:tc>
      </w:tr>
    </w:tbl>
    <w:p>
      <w:pPr>
        <w:spacing w:after="40"/>
      </w:pPr>
    </w:p>
    <w:p>
      <w:r>
        <w:rPr>
          <w:b/>
        </w:rPr>
        <w:t xml:space="preserve">Alora Capital </w:t>
      </w:r>
      <w:hyperlink r:id="rId10">
        <w:r>
          <w:rPr>
            <w:color w:val="16614B"/>
            <w:u w:val="single"/>
          </w:rPr>
          <w:t>Consultoria de crédito empresarial</w:t>
        </w:r>
      </w:hyperlink>
    </w:p>
    <w:p>
      <w:r>
        <w:rPr>
          <w:b/>
        </w:rPr>
        <w:t xml:space="preserve">Germina Finance </w:t>
      </w:r>
      <w:hyperlink r:id="rId11">
        <w:r>
          <w:rPr>
            <w:color w:val="16614B"/>
            <w:u w:val="single"/>
          </w:rPr>
          <w:t>Site institucional</w:t>
        </w:r>
      </w:hyperlink>
    </w:p>
    <w:p>
      <w:r>
        <w:rPr>
          <w:b/>
        </w:rPr>
        <w:t xml:space="preserve">Blue Banker </w:t>
      </w:r>
      <w:hyperlink r:id="rId12">
        <w:r>
          <w:rPr>
            <w:color w:val="16614B"/>
            <w:u w:val="single"/>
          </w:rPr>
          <w:t>Serviços para empresas</w:t>
        </w:r>
      </w:hyperlink>
    </w:p>
    <w:p>
      <w:r>
        <w:rPr>
          <w:b/>
        </w:rPr>
        <w:t xml:space="preserve">Limite da comparação </w:t>
      </w:r>
      <w:r>
        <w:t>Não há evidência para avaliar a qualidade do atendimento ou dos resultados desses concorrentes. A avaliação acima trata apenas do que publicam. Evitar copiar chamadas gratuitas, promessas de liberação e mensagens que desloquem o foco do diagnóstico.</w:t>
      </w:r>
    </w:p>
    <w:p>
      <w:pPr>
        <w:pStyle w:val="Heading1"/>
      </w:pPr>
      <w:r>
        <w:t>6 Marca</w:t>
      </w:r>
    </w:p>
    <w:p>
      <w:r>
        <w:rPr>
          <w:b/>
        </w:rPr>
        <w:t xml:space="preserve">Identidade </w:t>
      </w:r>
      <w:r>
        <w:t>Lothem Inteligência em Crédito. Logo e identidade já aparecem nos materiais anteriores. Consolidar os arquivos originais e o manual em assets/.</w:t>
      </w:r>
    </w:p>
    <w:p>
      <w:r>
        <w:rPr>
          <w:b/>
        </w:rPr>
        <w:t xml:space="preserve">Cores e fontes </w:t>
      </w:r>
      <w:r>
        <w:t>Verde, azul-marinho e prata. Códigos exatos, fontes oficiais e versões do logo: a confirmar no manual. Manter essa identidade nos novos materiais.</w:t>
      </w:r>
    </w:p>
    <w:p>
      <w:r>
        <w:rPr>
          <w:b/>
        </w:rPr>
        <w:t xml:space="preserve">Estilo visual </w:t>
      </w:r>
      <w:r>
        <w:t>Aparência de empresa de elite, com composição limpa, letras confortáveis de ler e hierarquia clara no celular. Usar a presença da Rebeca e fotografias aprovadas, preservando seus traços. A personalização deve incluir nome e empresa do cliente quando fizer sentido.</w:t>
      </w:r>
    </w:p>
    <w:p>
      <w:r>
        <w:rPr>
          <w:b/>
        </w:rPr>
        <w:t xml:space="preserve">Tom de voz </w:t>
      </w:r>
      <w:r>
        <w:t>Próxima, segura e estratégica. Explicar termos de crédito com palavras familiares. O gancho deve despertar curiosidade sobre o caso do empresário e conduzir ao funil.</w:t>
      </w:r>
    </w:p>
    <w:p>
      <w:r>
        <w:rPr>
          <w:b/>
        </w:rPr>
        <w:t xml:space="preserve">Limites de copy </w:t>
      </w:r>
      <w:r>
        <w:t>“Pré-análise grátis”, “crédito garantido”, “valor já liberado no seu CNPJ” sem confirmação e “rating oficial de todos os bancos”. Evitar urgência artificial e promessas de melhora de nota ou liberação em prazo fixo sem base verificável.</w:t>
      </w:r>
    </w:p>
    <w:p>
      <w:r>
        <w:rPr>
          <w:b/>
        </w:rPr>
        <w:t xml:space="preserve">Referências </w:t>
      </w:r>
      <w:r>
        <w:t>Usar a identidade original da Lothem, os retratos aprovados da Rebeca e as peças anteriores como referências de trabalho. Perfis, sites e anúncios externos favoritos: a confirmar; não há três referências visuais externas aprovadas.</w:t>
      </w:r>
    </w:p>
    <w:p>
      <w:r>
        <w:rPr>
          <w:b/>
        </w:rPr>
        <w:t xml:space="preserve">Exemplos a evitar </w:t>
      </w:r>
      <w:r>
        <w:t>Artes em 3D com aparência artificial e montagens que alteram o rosto da Rebeca. Peças genéricas, letras difíceis de ler e anúncios que atraem pela gratuidade também foram rejeitados.</w:t>
      </w:r>
    </w:p>
    <w:p>
      <w:pPr>
        <w:pStyle w:val="Heading1"/>
      </w:pPr>
      <w:r>
        <w:t>7 Situação atual de marketing</w:t>
      </w:r>
    </w:p>
    <w:p>
      <w:r>
        <w:rPr>
          <w:b/>
        </w:rPr>
        <w:t xml:space="preserve">Funil do diagnóstico </w:t>
      </w:r>
      <w:hyperlink r:id="rId13">
        <w:r>
          <w:rPr>
            <w:color w:val="16614B"/>
            <w:u w:val="single"/>
          </w:rPr>
          <w:t>diagnostico.lothem.com.br</w:t>
        </w:r>
      </w:hyperlink>
    </w:p>
    <w:p>
      <w:r>
        <w:rPr>
          <w:b/>
        </w:rPr>
        <w:t xml:space="preserve">Instagram </w:t>
      </w:r>
      <w:hyperlink r:id="rId14">
        <w:r>
          <w:rPr>
            <w:color w:val="16614B"/>
            <w:u w:val="single"/>
          </w:rPr>
          <w:t>@lothem.credito</w:t>
        </w:r>
      </w:hyperlink>
    </w:p>
    <w:p>
      <w:r>
        <w:rPr>
          <w:b/>
        </w:rPr>
        <w:t xml:space="preserve">WhatsApp de apoio </w:t>
      </w:r>
      <w:hyperlink r:id="rId15">
        <w:r>
          <w:rPr>
            <w:color w:val="16614B"/>
            <w:u w:val="single"/>
          </w:rPr>
          <w:t>(19) 99460-7410</w:t>
        </w:r>
      </w:hyperlink>
    </w:p>
    <w:p>
      <w:r>
        <w:rPr>
          <w:b/>
        </w:rPr>
        <w:t xml:space="preserve">Outros canais </w:t>
      </w:r>
      <w:r>
        <w:t>Há produtos e ofertas preparados para a Cakto. Links dos checkouts e Perfil da Empresa no Google: a confirmar. O anúncio deve levar ao funil; o WhatsApp funciona como apoio e continuidade comercial.</w:t>
      </w:r>
    </w:p>
    <w:p>
      <w:r>
        <w:rPr>
          <w:b/>
        </w:rPr>
        <w:t xml:space="preserve">Histórico de mídia </w:t>
      </w:r>
      <w:r>
        <w:t>Já houve trabalho com anúncios e criativos para o funil. O problema relatado foi a captação de interessados desqualificados pela pré-análise gratuita. Verbas, plataformas, períodos, compras atribuídas e retorno: confirmar nos relatórios.</w:t>
      </w:r>
    </w:p>
    <w:p>
      <w:r>
        <w:rPr>
          <w:b/>
        </w:rPr>
        <w:t xml:space="preserve">Origem dos clientes </w:t>
      </w:r>
      <w:r>
        <w:t>Proporção de clientes vindos de anúncios, Instagram, indicação ou Google: a confirmar. Identificar a origem de cada venda no funil e no atendimento.</w:t>
      </w:r>
    </w:p>
    <w:p>
      <w:r>
        <w:rPr>
          <w:b/>
        </w:rPr>
        <w:t xml:space="preserve">Atendimento e venda </w:t>
      </w:r>
      <w:r>
        <w:t>O fluxo comercial desejado é anúncio → funil → diagnóstico pago → entrega e devolutiva → proposta de consultoria, quando houver aderência. Rebeca realiza reuniões. Responsável pelo primeiro contato, horários e tempo de resposta: a confirmar.</w:t>
      </w:r>
    </w:p>
    <w:p>
      <w:r>
        <w:rPr>
          <w:b/>
        </w:rPr>
        <w:t xml:space="preserve">Ferramentas </w:t>
      </w:r>
      <w:r>
        <w:t>Há intenção de estruturar SDR e closer com IA. Plataforma, CRM ou planilha, agenda, integrações e status da implementação: a confirmar; não presumir que já estão operando.</w:t>
      </w:r>
    </w:p>
    <w:p>
      <w:r>
        <w:rPr>
          <w:b/>
        </w:rPr>
        <w:t xml:space="preserve">Acessos </w:t>
      </w:r>
      <w:r>
        <w:t>Inventário e permissões de Meta Business, Google Ads, Analytics, site, Cakto e CRM: a confirmar. Para a auditoria inicial, solicitar somente leitura. Alterações e publicações devem seguir o fluxo de aprovação definido.</w:t>
      </w:r>
    </w:p>
    <w:p>
      <w:pPr>
        <w:pStyle w:val="Heading1"/>
      </w:pPr>
      <w:r>
        <w:t>8 Operação e restrições</w:t>
      </w:r>
    </w:p>
    <w:p>
      <w:r>
        <w:rPr>
          <w:b/>
        </w:rPr>
        <w:t xml:space="preserve">Aprovação </w:t>
      </w:r>
      <w:r>
        <w:t>Rebeca Macedo é a referência técnica e institucional. Confirmar quem dá a aprovação final das peças, se há outro sócio envolvido e qual é o prazo normal de resposta.</w:t>
      </w:r>
    </w:p>
    <w:p>
      <w:r>
        <w:rPr>
          <w:b/>
        </w:rPr>
        <w:t xml:space="preserve">Capacidade </w:t>
      </w:r>
      <w:r>
        <w:t>Confirmar diagnósticos que podem ser entregues por dia, reuniões por semana, quantidade de consultorias acompanhadas simultaneamente e equipe disponível. Escalar mídia conforme essa capacidade.</w:t>
      </w:r>
    </w:p>
    <w:p>
      <w:r>
        <w:rPr>
          <w:b/>
        </w:rPr>
        <w:t xml:space="preserve">Prazo e contrato </w:t>
      </w:r>
      <w:r>
        <w:t>Os materiais de boas-vindas apresentam uma consultoria de seis meses. Também foi mencionada uma promessa relacionada à obtenção de crédito nesse prazo. A obrigação precisa ser conciliada com o contrato definitivo: o modelo recebido está em nome de Azul Soluções Empresariais e não contém essa cláusula. Não habilitar essa promessa na publicidade ou no atendimento automático antes desse alinhamento.</w:t>
      </w:r>
    </w:p>
    <w:p>
      <w:r>
        <w:rPr>
          <w:b/>
        </w:rPr>
        <w:t xml:space="preserve">Materiais existentes </w:t>
      </w:r>
      <w:r>
        <w:t>O relatório PJ também contém um fechamento com Azul360. Confirmar a relação entre contratante, marca e fornecedor de tecnologia, corrigir as referências aplicáveis e revisar coerência de datas, classificações e recomendações nas rotas.</w:t>
      </w:r>
    </w:p>
    <w:p>
      <w:r>
        <w:rPr>
          <w:b/>
        </w:rPr>
        <w:t xml:space="preserve">Proteção de dados </w:t>
      </w:r>
      <w:r>
        <w:t>Coletar dados necessários à finalidade informada, documentar a base legal e restringir acessos a CPF, documentos, selfies e extratos. Definir canal de envio, retenção e exclusão. Materiais de clientes precisam ser anonimizados ou ter divulgação autorizada. Não solicitar senha ou código de acesso por mensagem.</w:t>
      </w:r>
    </w:p>
    <w:p>
      <w:r>
        <w:rPr>
          <w:b/>
        </w:rPr>
        <w:t xml:space="preserve">Publicidade de crédito </w:t>
      </w:r>
      <w:r>
        <w:t>Distinguir análise, estimativa, linha candidata e aprovação confirmada. A decisão e as condições dependem da instituição financeira. Conferir regras vigentes dos programas e consultas autorizadas. Um limite percentual ou requisito de uma rota não pode virar regra universal da campanha.</w:t>
      </w:r>
    </w:p>
    <w:p>
      <w:r>
        <w:rPr>
          <w:b/>
        </w:rPr>
        <w:t xml:space="preserve">Prazos e preservação </w:t>
      </w:r>
      <w:r>
        <w:t>Datas fixas de lançamento e eventos: a confirmar. Preservar logo, identidade e direcionamento dos anúncios para o funil. Correções na oferta, contrato e documentos devem ser tratadas antes de reutilizar as peças afetadas.</w:t>
      </w:r>
    </w:p>
    <w:p>
      <w:pPr>
        <w:pStyle w:val="Heading1"/>
      </w:pPr>
      <w:r>
        <w:t>9 Materiais para anexar</w:t>
      </w:r>
    </w:p>
    <w:p>
      <w:r>
        <w:t>Disponíveis como base: identidade da Lothem, retratos e criativos anteriores, ebook, apresentações de boas-vindas, modelos de diagnóstico e rotas PF/PJ. Separar fotografias reais de imagens geradas ou editadas para publicidade.</w:t>
      </w:r>
    </w:p>
    <w:p>
      <w:r>
        <w:t>Reunir em assets/: logo e manual; fotos reais aprovadas; vídeos originais; tabela vigente de preços; apresentação comercial; contrato final; depoimentos autorizados; provas documentadas de resultados; conversas de atendimento sem identificação; relatórios de anúncios e vendas.</w:t>
      </w:r>
    </w:p>
    <w:p>
      <w:r>
        <w:t>Para as provas, registrar período, serviço contratado, ponto de partida e resultado verificável. Fotos produzidas para anúncio e amostras de relatório não substituem evidência de um crédito efetivamente contratado.</w:t>
      </w:r>
    </w:p>
    <w:p>
      <w:pPr>
        <w:pStyle w:val="Heading1"/>
      </w:pPr>
      <w:r>
        <w:t>Critério de sucesso em três meses</w:t>
      </w:r>
    </w:p>
    <w:p>
      <w:r>
        <w:t>“Valeu cada centavo porque passamos a atrair empresários que entendem o valor do diagnóstico, compram o serviço e chegam à devolutiva com intenção real de organizar o crédito. A consultoria ganhou oportunidades qualificadas, e eu consigo enxergar o custo de aquisição, a conversão e a margem das vendas.”</w:t>
      </w:r>
    </w:p>
    <w:p>
      <w:r>
        <w:t>Validar as metas numéricas, a verba e a capacidade de entrega para transformar esse resultado desejado em um compromisso mensurável.</w:t>
      </w:r>
    </w:p>
    <w:p>
      <w:pPr>
        <w:pStyle w:val="Heading1"/>
        <w:spacing w:before="40" w:after="60" w:line="240" w:lineRule="auto"/>
      </w:pPr>
      <w:r>
        <w:rPr>
          <w:sz w:val="20"/>
        </w:rPr>
        <w:t>Referências para operação e publicidade</w:t>
      </w:r>
    </w:p>
    <w:p>
      <w:pPr>
        <w:spacing w:before="40" w:after="60" w:line="240" w:lineRule="auto"/>
      </w:pPr>
      <w:r>
        <w:rPr>
          <w:b/>
          <w:sz w:val="20"/>
        </w:rPr>
        <w:t xml:space="preserve">ANPD </w:t>
      </w:r>
      <w:hyperlink r:id="rId16">
        <w:r>
          <w:rPr>
            <w:color w:val="16614B"/>
            <w:u w:val="single"/>
            <w:sz w:val="20"/>
          </w:rPr>
          <w:t>Princípios de finalidade e necessidade</w:t>
        </w:r>
      </w:hyperlink>
    </w:p>
    <w:p>
      <w:pPr>
        <w:spacing w:before="40" w:after="60" w:line="240" w:lineRule="auto"/>
      </w:pPr>
      <w:r>
        <w:rPr>
          <w:b/>
          <w:sz w:val="20"/>
        </w:rPr>
        <w:t xml:space="preserve">ANPD </w:t>
      </w:r>
      <w:hyperlink r:id="rId17">
        <w:r>
          <w:rPr>
            <w:color w:val="16614B"/>
            <w:u w:val="single"/>
            <w:sz w:val="20"/>
          </w:rPr>
          <w:t>Segurança e obrigações de agentes de pequeno porte</w:t>
        </w:r>
      </w:hyperlink>
    </w:p>
    <w:p>
      <w:pPr>
        <w:spacing w:before="40" w:after="60" w:line="240" w:lineRule="auto"/>
      </w:pPr>
      <w:r>
        <w:rPr>
          <w:b/>
          <w:sz w:val="20"/>
        </w:rPr>
        <w:t xml:space="preserve">Banco Central </w:t>
      </w:r>
      <w:hyperlink r:id="rId18">
        <w:r>
          <w:rPr>
            <w:color w:val="16614B"/>
            <w:u w:val="single"/>
            <w:sz w:val="20"/>
          </w:rPr>
          <w:t>Sistema de Informações de Créditos</w:t>
        </w:r>
      </w:hyperlink>
    </w:p>
    <w:p>
      <w:pPr>
        <w:spacing w:before="40" w:after="60" w:line="240" w:lineRule="auto"/>
      </w:pPr>
      <w:r>
        <w:rPr>
          <w:b/>
          <w:sz w:val="20"/>
        </w:rPr>
        <w:t xml:space="preserve">Código de Defesa do Consumidor </w:t>
      </w:r>
      <w:hyperlink r:id="rId19">
        <w:r>
          <w:rPr>
            <w:color w:val="16614B"/>
            <w:u w:val="single"/>
            <w:sz w:val="20"/>
          </w:rPr>
          <w:t>Informação, oferta e publicidade</w:t>
        </w:r>
      </w:hyperlink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lora.capital/consultoria-credito-empresarial/" TargetMode="External"/><Relationship Id="rId11" Type="http://schemas.openxmlformats.org/officeDocument/2006/relationships/hyperlink" Target="https://germinafinance.com.br/" TargetMode="External"/><Relationship Id="rId12" Type="http://schemas.openxmlformats.org/officeDocument/2006/relationships/hyperlink" Target="https://www.bluebanker.com.br/servicos-para-empresas" TargetMode="External"/><Relationship Id="rId13" Type="http://schemas.openxmlformats.org/officeDocument/2006/relationships/hyperlink" Target="https://diagnostico.lothem.com.br/" TargetMode="External"/><Relationship Id="rId14" Type="http://schemas.openxmlformats.org/officeDocument/2006/relationships/hyperlink" Target="https://www.instagram.com/lothem.credito/" TargetMode="External"/><Relationship Id="rId15" Type="http://schemas.openxmlformats.org/officeDocument/2006/relationships/hyperlink" Target="https://wa.me/5519994607410" TargetMode="External"/><Relationship Id="rId16" Type="http://schemas.openxmlformats.org/officeDocument/2006/relationships/hyperlink" Target="https://www.gov.br/anpd/pt-br/documentos-e-publicacoes/glossario-anpd" TargetMode="External"/><Relationship Id="rId17" Type="http://schemas.openxmlformats.org/officeDocument/2006/relationships/hyperlink" Target="https://www.gov.br/anpd/pt-br/acesso-a-informacao/institucional/atos-normativos/regulamentacoes_anpd/resolucao-cd-anpd-no-2-de-27-de-janeiro-de-2022" TargetMode="External"/><Relationship Id="rId18" Type="http://schemas.openxmlformats.org/officeDocument/2006/relationships/hyperlink" Target="https://www.bcb.gov.br/estabilidadefinanceira/scr" TargetMode="External"/><Relationship Id="rId19" Type="http://schemas.openxmlformats.org/officeDocument/2006/relationships/hyperlink" Target="https://www.planalto.gov.br/ccivil_03/leis/l8078compilado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de marketing Lothem Inteligência em Crédito</dc:title>
  <dc:subject>Negócio, público, oferta e direção de marketing</dc:subject>
  <dc:creator>Lothem Inteligência em Crédito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