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49F" w:rsidRDefault="005D249F">
      <w:bookmarkStart w:name="_GoBack" w:id="0"/>
      <w:bookmarkEnd w:id="0"/>
    </w:p>
    <w:p w:rsidR="005D249F" w:rsidRDefault="005D249F"/>
    <w:p w:rsidR="005D249F" w:rsidRDefault="003F13D7">
      <w:pPr>
        <w:jc w:val="center"/>
        <w:rPr>
          <w:b/>
        </w:rPr>
      </w:pPr>
      <w:r>
        <w:rPr>
          <w:b/>
          <w:color w:val="1F1F1F"/>
          <w:sz w:val="40"/>
          <w:szCs w:val="40"/>
          <w:highlight w:val="white"/>
          <w:lang w:val="Spanish"/>
        </w:rPr>
        <w:t>Propuesta de comercialización interna</w:t>
      </w:r>
    </w:p>
    <w:p w:rsidR="005D249F" w:rsidRDefault="005D249F"/>
    <w:p w:rsidR="005D249F" w:rsidRDefault="003F13D7">
      <w:pPr>
        <w:rPr>
          <w:b/>
          <w:sz w:val="24"/>
          <w:szCs w:val="24"/>
        </w:rPr>
      </w:pPr>
      <w:r>
        <w:rPr>
          <w:b/>
          <w:sz w:val="24"/>
          <w:szCs w:val="24"/>
          <w:lang w:val="Spanish"/>
        </w:rPr>
        <w:t>Información clave del cliente</w:t>
      </w:r>
    </w:p>
    <w:p w:rsidR="005D249F" w:rsidRDefault="003F13D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 xml:space="preserve">La Sinclair Verde Lamp Company está comprometida con la reducción de residuos mediante la reutilización de productos no deseados en lámparas mediante un proceso conocido como "upcycling".</w:t>
      </w:r>
      <w:proofErr w:type="gramStart"/>
      <w:proofErr w:type="gramEnd"/>
    </w:p>
    <w:p w:rsidR="005D249F" w:rsidRDefault="003F13D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Una parte de cada venta realizada se dona para apoyar a grupos medioambientales sin ánimo de lucro.</w:t>
      </w:r>
    </w:p>
    <w:p w:rsidR="005D249F" w:rsidRDefault="003F13D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El reciclaje de combustible reduce la presión sobre recursos valiosos como el combustible, los bosques y los suministros de agua, y ayuda a proteger los hábitats de la fauna.</w:t>
      </w:r>
    </w:p>
    <w:p w:rsidR="005D249F" w:rsidRDefault="003F13D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El reciclaje adicional reduce la cantidad de residuos que deberán reciclarse o enviarse a vertederos e incineradores.</w:t>
      </w:r>
    </w:p>
    <w:p w:rsidR="005D249F" w:rsidRDefault="005D249F">
      <w:pPr>
        <w:rPr>
          <w:b/>
          <w:sz w:val="24"/>
          <w:szCs w:val="24"/>
        </w:rPr>
      </w:pPr>
    </w:p>
    <w:p w:rsidR="005D249F" w:rsidRDefault="003F13D7">
      <w:pPr>
        <w:rPr>
          <w:b/>
          <w:sz w:val="24"/>
          <w:szCs w:val="24"/>
        </w:rPr>
      </w:pPr>
      <w:r>
        <w:rPr>
          <w:b/>
          <w:sz w:val="24"/>
          <w:szCs w:val="24"/>
          <w:lang w:val="Spanish"/>
        </w:rPr>
        <w:t>Estadísticas clave del público objetivo</w:t>
      </w:r>
    </w:p>
    <w:p w:rsidR="005D249F" w:rsidRDefault="003F13D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El 95% del grupo de edad utiliza al menos una red social.</w:t>
      </w:r>
    </w:p>
    <w:p w:rsidR="005D249F" w:rsidRDefault="003F13D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Más del 50% de todos los usuarios de la Generación X interactúan con vídeos de marcas en redes sociales.</w:t>
      </w:r>
    </w:p>
    <w:p w:rsidR="005D249F" w:rsidRDefault="003F13D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El 54% de los consumidores de la Generación X se sienten ignorados por las marcas y los responsables del marketing.</w:t>
      </w:r>
    </w:p>
    <w:p w:rsidR="005D249F" w:rsidRDefault="003F13D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El 93% de los consumidores globales esperan más de las marcas que utilizan para apoyar los problemas sociales y medioambientales locales.</w:t>
      </w:r>
    </w:p>
    <w:p w:rsidR="005D249F" w:rsidRDefault="003F13D7">
      <w:pPr>
        <w:pStyle w:val="Heading2"/>
      </w:pPr>
      <w:bookmarkStart w:name="_bm496vl6pwpg" w:colFirst="0" w:colLast="0" w:id="1"/>
      <w:bookmarkEnd w:id="1"/>
      <w:r>
        <w:rPr>
          <w:lang w:val="Spanish"/>
        </w:rPr>
        <w:t xml:space="preserve">Selecciona hasta dos estrategias o tácticas de marketing </w:t>
      </w:r>
    </w:p>
    <w:p w:rsidR="005D249F" w:rsidRDefault="003F13D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  <w:lang w:val="Spanish"/>
        </w:rPr>
        <w:t>Optimización para motores de búsqueda</w:t>
      </w:r>
    </w:p>
    <w:p w:rsidR="005D249F" w:rsidRDefault="003F13D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  <w:lang w:val="Spanish"/>
        </w:rPr>
        <w:t xml:space="preserve">Marketing en motores de búsqueda </w:t>
      </w:r>
    </w:p>
    <w:p w:rsidR="005D249F" w:rsidRDefault="003F13D7">
      <w:pPr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  <w:lang w:val="Spanish"/>
        </w:rPr>
        <w:t xml:space="preserve">Marketing en redes sociales </w:t>
      </w:r>
    </w:p>
    <w:p w:rsidR="005D249F" w:rsidRDefault="003F13D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  <w:lang w:val="Spanish"/>
        </w:rPr>
        <w:t>Publicidad en redes sociales</w:t>
      </w:r>
    </w:p>
    <w:p w:rsidR="005D249F" w:rsidRDefault="003F13D7">
      <w:pPr>
        <w:numPr>
          <w:ilvl w:val="0"/>
          <w:numId w:val="2"/>
        </w:num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  <w:lang w:val="Spanish"/>
        </w:rPr>
        <w:t>Marketing en vídeo</w:t>
      </w:r>
    </w:p>
    <w:p w:rsidR="005D249F" w:rsidRDefault="003F13D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  <w:lang w:val="Spanish"/>
        </w:rPr>
        <w:t xml:space="preserve">Marketing de influencers </w:t>
      </w:r>
    </w:p>
    <w:p w:rsidR="005D249F" w:rsidRDefault="005D249F">
      <w:pPr>
        <w:rPr>
          <w:sz w:val="24"/>
          <w:szCs w:val="24"/>
        </w:rPr>
      </w:pPr>
    </w:p>
    <w:tbl>
      <w:tblPr>
        <w:tblStyle w:val="a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D249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249F" w:rsidRDefault="003F1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Spanish"/>
              </w:rPr>
              <w:t xml:space="preserve">El 95% de la población de edad utiliza al menos una plataforma de redes sociales. Basándonos en esta estadística, el marketing en redes sociales será una buena forma de llegar a clientes de entre 42 y 57 años. </w:t>
            </w:r>
          </w:p>
          <w:p w:rsidR="005D249F" w:rsidRDefault="005D249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5D249F" w:rsidRDefault="003F1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Spanish"/>
              </w:rPr>
              <w:t>Las estadísticas también muestran que esta audiencia tiene un alto nivel de interacción con el contenido en vídeo. Podemos usar esta información para crear anuncios en vídeo.</w:t>
            </w:r>
          </w:p>
        </w:tc>
      </w:tr>
    </w:tbl>
    <w:p w:rsidR="005D249F" w:rsidRDefault="005D249F"/>
    <w:p w:rsidR="005D249F" w:rsidRDefault="005D249F"/>
    <w:p w:rsidR="005D249F" w:rsidRDefault="003F13D7">
      <w:pPr>
        <w:pStyle w:val="Heading2"/>
      </w:pPr>
      <w:bookmarkStart w:name="_hq5ykfffzyhi" w:colFirst="0" w:colLast="0" w:id="2"/>
      <w:bookmarkEnd w:id="2"/>
      <w:r>
        <w:rPr>
          <w:lang w:val="Spanish"/>
        </w:rPr>
        <w:t>Seleccione un cubo de contenido general, si corresponde</w:t>
      </w:r>
    </w:p>
    <w:p w:rsidR="005D249F" w:rsidRDefault="005D249F"/>
    <w:p w:rsidR="005D249F" w:rsidRDefault="003F13D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Contenido educativo: Genera confianza en tu marca y te posiciona como líder del sector con información y sabiduría para compartir.</w:t>
      </w:r>
    </w:p>
    <w:p w:rsidR="005D249F" w:rsidRDefault="005D249F">
      <w:pPr>
        <w:ind w:left="720"/>
        <w:rPr>
          <w:sz w:val="24"/>
          <w:szCs w:val="24"/>
        </w:rPr>
      </w:pPr>
    </w:p>
    <w:p w:rsidR="005D249F" w:rsidRDefault="003F13D7">
      <w:pPr>
        <w:numPr>
          <w:ilvl w:val="0"/>
          <w:numId w:val="3"/>
        </w:numPr>
        <w:rPr>
          <w:sz w:val="24"/>
          <w:szCs w:val="24"/>
        </w:rPr>
      </w:pPr>
      <w:r>
        <w:rPr>
          <w:b/>
          <w:sz w:val="24"/>
          <w:szCs w:val="24"/>
          <w:lang w:val="Spanish"/>
        </w:rPr>
        <w:lastRenderedPageBreak/>
        <w:t>Contenido inspirador</w:t>
      </w:r>
      <w:r>
        <w:rPr>
          <w:sz w:val="24"/>
          <w:szCs w:val="24"/>
          <w:lang w:val="Spanish"/>
        </w:rPr>
        <w:t xml:space="preserve">: Hace que tu marca parezca más auténtica y refuerza el mensaje, los valores y la visión de tu marca. </w:t>
      </w:r>
    </w:p>
    <w:p w:rsidR="005D249F" w:rsidRDefault="005D249F">
      <w:pPr>
        <w:ind w:left="720"/>
        <w:rPr>
          <w:sz w:val="24"/>
          <w:szCs w:val="24"/>
        </w:rPr>
      </w:pPr>
    </w:p>
    <w:p w:rsidR="005D249F" w:rsidRDefault="003F13D7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  <w:lang w:val="Spanish"/>
        </w:rPr>
        <w:t>Contenido promocional: Habla de tus productos y servicios con la intención de promocionarlos a clientes actuales y atraer nuevos seguidores</w:t>
      </w:r>
    </w:p>
    <w:p w:rsidR="005D249F" w:rsidRDefault="005D249F">
      <w:pPr>
        <w:rPr>
          <w:sz w:val="24"/>
          <w:szCs w:val="24"/>
        </w:rPr>
      </w:pPr>
    </w:p>
    <w:tbl>
      <w:tblPr>
        <w:tblStyle w:val="a0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5D249F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D249F" w:rsidRDefault="003F1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Spanish"/>
              </w:rPr>
              <w:t>Elegí el cubo de contenido inspirador porque Sinclair Verde Lamp Company tiene un mensaje de marca fuerte sobre la reducción de residuos a nivel mundial. Creo que esto resonará con los clientes que se preocupan por empresas con misiones de gran impacto.</w:t>
            </w:r>
          </w:p>
          <w:p w:rsidR="005D249F" w:rsidRDefault="005D249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5D249F" w:rsidRDefault="003F1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Spanish"/>
              </w:rPr>
              <w:t xml:space="preserve">Nuestros anuncios aparecerán en redes sociales como Twitter y Facebook, ya que son populares entre nuestro público de edad. Nos centraremos en crear anuncios en vídeo. Estos anuncios también pueden aparecer en YouTube. </w:t>
            </w:r>
          </w:p>
          <w:p w:rsidR="005D249F" w:rsidRDefault="005D249F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:rsidR="005D249F" w:rsidRDefault="003F13D7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Spanish"/>
              </w:rPr>
              <w:t>En nuestros anuncios en vídeo, comenzaremos explicando la misión de Sinclair Verde Lamp Company de reciclar y mostrar a los espectadores los productos que vendemos. También incluiremos estadísticas sobre cómo el reciclaje reducirá la cantidad de residuos que deberán reciclarse o enviarse a vertederos e incineradores.</w:t>
            </w:r>
          </w:p>
        </w:tc>
      </w:tr>
    </w:tbl>
    <w:p w:rsidR="005D249F" w:rsidRDefault="005D249F"/>
    <w:sectPr w:rsidR="005D249F">
      <w:headerReference w:type="default" r:id="rId7"/>
      <w:headerReference w:type="first" r:id="rId8"/>
      <w:footerReference w:type="first" r:id="rId9"/>
      <w:pgSz w:w="12240" w:h="2016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13D7" w:rsidRDefault="003F13D7">
      <w:pPr>
        <w:spacing w:line="240" w:lineRule="auto"/>
      </w:pPr>
      <w:r>
        <w:separator/>
      </w:r>
    </w:p>
  </w:endnote>
  <w:endnote w:type="continuationSeparator" w:id="0">
    <w:p w:rsidR="003F13D7" w:rsidRDefault="003F13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49F" w:rsidRDefault="005D249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13D7" w:rsidRDefault="003F13D7">
      <w:pPr>
        <w:spacing w:line="240" w:lineRule="auto"/>
      </w:pPr>
      <w:r>
        <w:separator/>
      </w:r>
    </w:p>
  </w:footnote>
  <w:footnote w:type="continuationSeparator" w:id="0">
    <w:p w:rsidR="003F13D7" w:rsidRDefault="003F13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49F" w:rsidRDefault="005D249F">
    <w:pPr>
      <w:widowControl w:val="0"/>
      <w:spacing w:line="240" w:lineRule="auto"/>
      <w:jc w:val="center"/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249F" w:rsidRDefault="003F13D7">
    <w:pPr>
      <w:widowControl w:val="0"/>
      <w:spacing w:line="240" w:lineRule="auto"/>
      <w:jc w:val="center"/>
    </w:pPr>
    <w:r>
      <w:rPr>
        <w:noProof/>
        <w:sz w:val="28"/>
        <w:szCs w:val="28"/>
        <w:lang w:val="Spanish"/>
      </w:rPr>
      <w:drawing>
        <wp:inline distT="114300" distB="114300" distL="114300" distR="114300">
          <wp:extent cx="2157413" cy="1787206"/>
          <wp:effectExtent l="0" t="0" r="0" b="0"/>
          <wp:docPr id="1" name="image1.png" descr="Logo de Good Mercury Marketi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Good Mercury Marketing logo"/>
                  <pic:cNvPicPr preferRelativeResize="0"/>
                </pic:nvPicPr>
                <pic:blipFill>
                  <a:blip r:embed="rId1"/>
                  <a:srcRect l="20411" t="16288" r="16292" b="13700"/>
                  <a:stretch>
                    <a:fillRect/>
                  </a:stretch>
                </pic:blipFill>
                <pic:spPr>
                  <a:xfrm>
                    <a:off x="0" y="0"/>
                    <a:ext cx="2157413" cy="17872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7092"/>
    <w:multiLevelType w:val="multilevel"/>
    <w:tmpl w:val="A43ADF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AE50C2"/>
    <w:multiLevelType w:val="multilevel"/>
    <w:tmpl w:val="CD001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1E1694"/>
    <w:multiLevelType w:val="multilevel"/>
    <w:tmpl w:val="C6F8A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AB489E"/>
    <w:multiLevelType w:val="multilevel"/>
    <w:tmpl w:val="4CFCC1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49F"/>
    <w:rsid w:val="003F13D7"/>
    <w:rsid w:val="005D249F"/>
    <w:rsid w:val="00BB4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F12D08-C6DD-4BCE-A948-0748163C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Google, Inc.</Company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Veneskey</dc:creator>
  <cp:lastModifiedBy>Laura Veneskey</cp:lastModifiedBy>
  <cp:revision>2</cp:revision>
  <dcterms:created xsi:type="dcterms:W3CDTF">2022-03-23T21:34:00Z</dcterms:created>
  <dcterms:modified xsi:type="dcterms:W3CDTF">2022-03-23T21:34:00Z</dcterms:modified>
</cp:coreProperties>
</file>