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TS.1 REVISED: Time Series Screening Associations (Single-Exposure, Single-Lag Harmonized Quasi-Poisson Models)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8"/>
        <w:gridCol w:w="1546"/>
        <w:gridCol w:w="1667"/>
        <w:gridCol w:w="4104"/>
        <w:gridCol w:w="2659"/>
        <w:gridCol w:w="1429"/>
        <w:gridCol w:w="2253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Study Region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Exposure Lag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Total Cases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Environmental Predictor (Single)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Crude Rate Ratio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Raw p-value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FDR-Adjusted p-value</w:t>
            </w:r>
          </w:p>
        </w:tc>
      </w:tr>
      <w:tr>
        <w:trPr>
          <w:trHeight w:val="583" w:hRule="auto"/>
        </w:trPr>
        body 1
        <w:tc>
          <w:tcPr>
            <w:vMerge w:val="restart"/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CADIZ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1.21 (1.05, 1.38)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0.023</w:t>
            </w:r>
          </w:p>
        </w:tc>
      </w:tr>
      <w:tr>
        <w:trPr>
          <w:trHeight w:val="583" w:hRule="auto"/>
        </w:trPr>
        body 2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1.19 (1.04,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0.023</w:t>
            </w:r>
          </w:p>
        </w:tc>
      </w:tr>
      <w:tr>
        <w:trPr>
          <w:trHeight w:val="583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1.18 (1.03,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0.024</w:t>
            </w:r>
          </w:p>
        </w:tc>
      </w:tr>
      <w:tr>
        <w:trPr>
          <w:trHeight w:val="583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1.17 (1.02,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0.024</w:t>
            </w:r>
          </w:p>
        </w:tc>
      </w:tr>
      <w:tr>
        <w:trPr>
          <w:trHeight w:val="58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1.17 (0.89,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0.247</w:t>
            </w:r>
          </w:p>
        </w:tc>
      </w:tr>
      <w:tr>
        <w:trPr>
          <w:trHeight w:val="584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1.19 (0.90,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0.247</w:t>
            </w:r>
          </w:p>
        </w:tc>
      </w:tr>
      <w:tr>
        <w:trPr>
          <w:trHeight w:val="584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1.19 (0.90,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0.247</w:t>
            </w:r>
          </w:p>
        </w:tc>
      </w:tr>
      <w:tr>
        <w:trPr>
          <w:trHeight w:val="584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1.18 (0.90,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0.247</w:t>
            </w:r>
          </w:p>
        </w:tc>
      </w:tr>
      <w:tr>
        <w:trPr>
          <w:trHeight w:val="583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1.14 (0.98,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0.393</w:t>
            </w:r>
          </w:p>
        </w:tc>
      </w:tr>
      <w:tr>
        <w:trPr>
          <w:trHeight w:val="583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1.04 (0.84,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0.735</w:t>
            </w:r>
          </w:p>
        </w:tc>
      </w:tr>
      <w:tr>
        <w:trPr>
          <w:trHeight w:val="583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0.90 (0.66,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0.657</w:t>
            </w:r>
          </w:p>
        </w:tc>
      </w:tr>
      <w:tr>
        <w:trPr>
          <w:trHeight w:val="583" w:hRule="auto"/>
        </w:trPr>
        body12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0.86 (0.62, 1.20)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0.657</w:t>
            </w:r>
          </w:p>
        </w:tc>
      </w:tr>
      <w:tr>
        <w:trPr>
          <w:trHeight w:val="583" w:hRule="auto"/>
        </w:trPr>
        body13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CHARENTE-MARITIME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1.67 (1.29, 2.17)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body14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1.64 (1.27,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1.60 (1.23, 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1.56 (1.20,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4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0.45 (0.17,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0.111</w:t>
            </w:r>
          </w:p>
        </w:tc>
      </w:tr>
      <w:tr>
        <w:trPr>
          <w:trHeight w:val="584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0.40 (0.14,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0.109</w:t>
            </w:r>
          </w:p>
        </w:tc>
      </w:tr>
      <w:tr>
        <w:trPr>
          <w:trHeight w:val="584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0.38 (0.13,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0.109</w:t>
            </w:r>
          </w:p>
        </w:tc>
      </w:tr>
      <w:tr>
        <w:trPr>
          <w:trHeight w:val="584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 (0.13,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0.109</w:t>
            </w:r>
          </w:p>
        </w:tc>
      </w:tr>
      <w:tr>
        <w:trPr>
          <w:trHeight w:val="583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1.12 (0.78,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0.724</w:t>
            </w:r>
          </w:p>
        </w:tc>
      </w:tr>
      <w:tr>
        <w:trPr>
          <w:trHeight w:val="583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1.19 (0.87,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0.724</w:t>
            </w:r>
          </w:p>
        </w:tc>
      </w:tr>
      <w:tr>
        <w:trPr>
          <w:trHeight w:val="583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1.14 (0.79,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0.724</w:t>
            </w:r>
          </w:p>
        </w:tc>
      </w:tr>
      <w:tr>
        <w:trPr>
          <w:trHeight w:val="583" w:hRule="auto"/>
        </w:trPr>
        body24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0.97 (0.61, 1.53)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0.890</w:t>
            </w:r>
          </w:p>
        </w:tc>
      </w:tr>
      <w:tr>
        <w:trPr>
          <w:trHeight w:val="583" w:hRule="auto"/>
        </w:trPr>
        body25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STOCKHOLM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1.35 (1.12, 1.63)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0.002</w:t>
            </w:r>
          </w:p>
        </w:tc>
      </w:tr>
      <w:tr>
        <w:trPr>
          <w:trHeight w:val="583" w:hRule="auto"/>
        </w:trPr>
        body26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1.42 (1.18,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1.47 (1.22,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1.49 (1.24,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4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0.57 (0.25,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0.176</w:t>
            </w:r>
          </w:p>
        </w:tc>
      </w:tr>
      <w:tr>
        <w:trPr>
          <w:trHeight w:val="584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0.56 (0.24,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0.176</w:t>
            </w:r>
          </w:p>
        </w:tc>
      </w:tr>
      <w:tr>
        <w:trPr>
          <w:trHeight w:val="584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0.55 (0.24,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0.176</w:t>
            </w:r>
          </w:p>
        </w:tc>
      </w:tr>
      <w:tr>
        <w:trPr>
          <w:trHeight w:val="584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0.54 (0.23,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0.176</w:t>
            </w:r>
          </w:p>
        </w:tc>
      </w:tr>
      <w:tr>
        <w:trPr>
          <w:trHeight w:val="583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1.00 (0.76,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0.997</w:t>
            </w:r>
          </w:p>
        </w:tc>
      </w:tr>
      <w:tr>
        <w:trPr>
          <w:trHeight w:val="583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1.18 (0.98,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0.170</w:t>
            </w:r>
          </w:p>
        </w:tc>
      </w:tr>
      <w:tr>
        <w:trPr>
          <w:trHeight w:val="583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1.28 (1.11,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0.002</w:t>
            </w:r>
          </w:p>
        </w:tc>
      </w:tr>
      <w:tr>
        <w:trPr>
          <w:trHeight w:val="583" w:hRule="auto"/>
        </w:trPr>
        body36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1.00 (0.77, 1.31)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0.997</w:t>
            </w:r>
          </w:p>
        </w:tc>
      </w:tr>
      <w:tr>
        <w:trPr>
          <w:trHeight w:val="583" w:hRule="auto"/>
        </w:trPr>
        body37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ARCACHON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0.93 (0.64, 1.35)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0.917</w:t>
            </w:r>
          </w:p>
        </w:tc>
      </w:tr>
      <w:tr>
        <w:trPr>
          <w:trHeight w:val="583" w:hRule="auto"/>
        </w:trPr>
        body38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1.08 (0.75,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0.917</w:t>
            </w:r>
          </w:p>
        </w:tc>
      </w:tr>
      <w:tr>
        <w:trPr>
          <w:trHeight w:val="583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1.09 (0.76,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0.917</w:t>
            </w:r>
          </w:p>
        </w:tc>
      </w:tr>
      <w:tr>
        <w:trPr>
          <w:trHeight w:val="583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1.02 (0.71,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0.917</w:t>
            </w:r>
          </w:p>
        </w:tc>
      </w:tr>
      <w:tr>
        <w:trPr>
          <w:trHeight w:val="584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1.03 (0.51, 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0.942</w:t>
            </w:r>
          </w:p>
        </w:tc>
      </w:tr>
      <w:tr>
        <w:trPr>
          <w:trHeight w:val="584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0.81 (0.40,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0.942</w:t>
            </w:r>
          </w:p>
        </w:tc>
      </w:tr>
      <w:tr>
        <w:trPr>
          <w:trHeight w:val="584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0.86 (0.42,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0.942</w:t>
            </w:r>
          </w:p>
        </w:tc>
      </w:tr>
      <w:tr>
        <w:trPr>
          <w:trHeight w:val="584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1.13 (0.57,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0.942</w:t>
            </w:r>
          </w:p>
        </w:tc>
      </w:tr>
      <w:tr>
        <w:trPr>
          <w:trHeight w:val="583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0.25 (0.06,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0.202</w:t>
            </w:r>
          </w:p>
        </w:tc>
      </w:tr>
      <w:tr>
        <w:trPr>
          <w:trHeight w:val="583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0.45 (0.18,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0.202</w:t>
            </w:r>
          </w:p>
        </w:tc>
      </w:tr>
      <w:tr>
        <w:trPr>
          <w:trHeight w:val="583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0.95 (0.63,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0.809</w:t>
            </w:r>
          </w:p>
        </w:tc>
      </w:tr>
      <w:tr>
        <w:trPr>
          <w:trHeight w:val="583" w:hRule="auto"/>
        </w:trPr>
        body48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0.62 (0.30, 1.30)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0.276</w:t>
            </w:r>
          </w:p>
        </w:tc>
      </w:tr>
    </w:tbl>
    <w:p>
      <w:pPr>
        <w:pStyle w:val="Normal"/>
      </w:pPr>
      <w:r>
        <w:t xml:space="preserve">
Note: Bold entries indicate statistical significance at the False Discovery Rate (BH) adjusted p &lt; 0.05 level calculated locally within distinct region-exposure parameters.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rebecca</cp:lastModifiedBy>
  <cp:revision>9</cp:revision>
  <dcterms:created xsi:type="dcterms:W3CDTF">2017-02-28T11:18:00Z</dcterms:created>
  <dcterms:modified xsi:type="dcterms:W3CDTF">2026-08-06T09:16:23Z</dcterms:modified>
  <cp:category/>
</cp:coreProperties>
</file>