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A.1: Full Spearman Rank Correlation Matrix of Secondary Atmospheric and Proximal Marine Exposure Covariates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8"/>
        <w:gridCol w:w="979"/>
        <w:gridCol w:w="979"/>
        <w:gridCol w:w="1071"/>
        <w:gridCol w:w="1058"/>
        <w:gridCol w:w="1083"/>
      </w:tblGrid>
      <w:tr>
        <w:trPr>
          <w:trHeight w:val="563" w:hRule="auto"/>
          <w:tblHeader/>
        </w:trPr>
        header1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Environmental Metric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SSS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Tmean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Pmean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Rmean</w:t>
            </w:r>
          </w:p>
        </w:tc>
      </w:tr>
      <w:tr>
        <w:trPr>
          <w:trHeight w:val="563" w:hRule="auto"/>
        </w:trPr>
        body1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0.581</w:t>
            </w:r>
          </w:p>
        </w:tc>
      </w:tr>
      <w:tr>
        <w:trPr>
          <w:trHeight w:val="563" w:hRule="auto"/>
        </w:trPr>
        body2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562" w:hRule="auto"/>
        </w:trPr>
        body3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Tmean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</w:tr>
      <w:tr>
        <w:trPr>
          <w:trHeight w:val="562" w:hRule="auto"/>
        </w:trPr>
        body4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Pmean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-0.598</w:t>
            </w:r>
          </w:p>
        </w:tc>
      </w:tr>
      <w:tr>
        <w:trPr>
          <w:trHeight w:val="562" w:hRule="auto"/>
        </w:trPr>
        body5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Rmean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Normal"/>
      </w:pPr>
      <w:r>
        <w:t xml:space="preserve">
Note: Matrix values represent Spearman rank correlation coefficients (p) derived across unified daily chronological timelines. Bold entries explicitly highlight severe multicollinearity thresholds exceeding the standard p = 0.70 boundary rule.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2026-07-30T16:11:11Z</dcterms:modified>
  <cp:category/>
</cp:coreProperties>
</file>