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CC.1-A: Stratified Single-Variable Case-Crossover Odds Ratios for Primary Environmental Predictors Across Lags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546"/>
        <w:gridCol w:w="1186"/>
        <w:gridCol w:w="4104"/>
        <w:gridCol w:w="2712"/>
        <w:gridCol w:w="1429"/>
        <w:gridCol w:w="2253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Primary Environmental Predictor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Crude Odds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Raw 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FDR-Adjusted p-value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1.27 (1.03, 1.55)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</w:tr>
      <w:tr>
        <w:trPr>
          <w:trHeight w:val="583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1.22 (1.00,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</w:tr>
      <w:tr>
        <w:trPr>
          <w:trHeight w:val="58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1.21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</w:tr>
      <w:tr>
        <w:trPr>
          <w:trHeight w:val="58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1.21 (0.98,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0.077</w:t>
            </w:r>
          </w:p>
        </w:tc>
      </w:tr>
      <w:tr>
        <w:trPr>
          <w:trHeight w:val="58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 (0.08, 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0.644</w:t>
            </w:r>
          </w:p>
        </w:tc>
      </w:tr>
      <w:tr>
        <w:trPr>
          <w:trHeight w:val="58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 (0.09, 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0.644</w:t>
            </w:r>
          </w:p>
        </w:tc>
      </w:tr>
      <w:tr>
        <w:trPr>
          <w:trHeight w:val="58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0.63 (0.09,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0.644</w:t>
            </w:r>
          </w:p>
        </w:tc>
      </w:tr>
      <w:tr>
        <w:trPr>
          <w:trHeight w:val="58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 (0.07,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0.644</w:t>
            </w:r>
          </w:p>
        </w:tc>
      </w:tr>
      <w:tr>
        <w:trPr>
          <w:trHeight w:val="583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1.08 (0.93,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0.443</w:t>
            </w:r>
          </w:p>
        </w:tc>
      </w:tr>
      <w:tr>
        <w:trPr>
          <w:trHeight w:val="583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1.03 (0.88,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0.691</w:t>
            </w:r>
          </w:p>
        </w:tc>
      </w:tr>
      <w:tr>
        <w:trPr>
          <w:trHeight w:val="58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0.89 (0.71,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0.443</w:t>
            </w:r>
          </w:p>
        </w:tc>
      </w:tr>
      <w:tr>
        <w:trPr>
          <w:trHeight w:val="583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0.85 (0.66, 1.08)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0.443</w:t>
            </w:r>
          </w:p>
        </w:tc>
      </w:tr>
      <w:tr>
        <w:trPr>
          <w:trHeight w:val="583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4.00 (2.01, 7.96)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3.45 (1.91, 6.24)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3.08 (1.79, 5.29)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3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2.73 (1.64, 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&lt; 0.001</w:t>
            </w:r>
          </w:p>
        </w:tc>
      </w:tr>
      <w:tr>
        <w:trPr>
          <w:trHeight w:val="58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 (0.43,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0.615</w:t>
            </w:r>
          </w:p>
        </w:tc>
      </w:tr>
      <w:tr>
        <w:trPr>
          <w:trHeight w:val="58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0.74 (0.37,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0.525</w:t>
            </w:r>
          </w:p>
        </w:tc>
      </w:tr>
      <w:tr>
        <w:trPr>
          <w:trHeight w:val="58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0.68 (0.35,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0.525</w:t>
            </w:r>
          </w:p>
        </w:tc>
      </w:tr>
      <w:tr>
        <w:trPr>
          <w:trHeight w:val="58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 (0.34,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0.525</w:t>
            </w:r>
          </w:p>
        </w:tc>
      </w:tr>
      <w:tr>
        <w:trPr>
          <w:trHeight w:val="583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1.28 (0.92,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0.566</w:t>
            </w:r>
          </w:p>
        </w:tc>
      </w:tr>
      <w:tr>
        <w:trPr>
          <w:trHeight w:val="583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1.16 (0.81,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0.566</w:t>
            </w:r>
          </w:p>
        </w:tc>
      </w:tr>
      <w:tr>
        <w:trPr>
          <w:trHeight w:val="583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1.14 (0.82,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0.566</w:t>
            </w:r>
          </w:p>
        </w:tc>
      </w:tr>
      <w:tr>
        <w:trPr>
          <w:trHeight w:val="583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 (0.60, 1.38)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0.661</w:t>
            </w:r>
          </w:p>
        </w:tc>
      </w:tr>
      <w:tr>
        <w:trPr>
          <w:trHeight w:val="583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1.20 (0.89, 1.62)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0.234</w:t>
            </w:r>
          </w:p>
        </w:tc>
      </w:tr>
      <w:tr>
        <w:trPr>
          <w:trHeight w:val="583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1.29 (0.94,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0.160</w:t>
            </w:r>
          </w:p>
        </w:tc>
      </w:tr>
      <w:tr>
        <w:trPr>
          <w:trHeight w:val="58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1.36 (0.97,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0.146</w:t>
            </w:r>
          </w:p>
        </w:tc>
      </w:tr>
      <w:tr>
        <w:trPr>
          <w:trHeight w:val="58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1.40 (0.99,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0.146</w:t>
            </w:r>
          </w:p>
        </w:tc>
      </w:tr>
      <w:tr>
        <w:trPr>
          <w:trHeight w:val="58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0.25 (0.00, 100.18)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0.848</w:t>
            </w:r>
          </w:p>
        </w:tc>
      </w:tr>
      <w:tr>
        <w:trPr>
          <w:trHeight w:val="58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 (0.00, 117.80)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0.848</w:t>
            </w:r>
          </w:p>
        </w:tc>
      </w:tr>
      <w:tr>
        <w:trPr>
          <w:trHeight w:val="58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0.39 (0.00, 149.20)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0.848</w:t>
            </w:r>
          </w:p>
        </w:tc>
      </w:tr>
      <w:tr>
        <w:trPr>
          <w:trHeight w:val="584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0.56 (0.00, 207.51)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0.848</w:t>
            </w:r>
          </w:p>
        </w:tc>
      </w:tr>
      <w:tr>
        <w:trPr>
          <w:trHeight w:val="583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0.85 (0.54,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0.555</w:t>
            </w:r>
          </w:p>
        </w:tc>
      </w:tr>
      <w:tr>
        <w:trPr>
          <w:trHeight w:val="583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1.21 (0.88,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0.496</w:t>
            </w:r>
          </w:p>
        </w:tc>
      </w:tr>
      <w:tr>
        <w:trPr>
          <w:trHeight w:val="583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1.60 (1.13,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0.031</w:t>
            </w:r>
          </w:p>
        </w:tc>
      </w:tr>
      <w:tr>
        <w:trPr>
          <w:trHeight w:val="583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1.11 (0.78, 1.58)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0.555</w:t>
            </w:r>
          </w:p>
        </w:tc>
      </w:tr>
      <w:tr>
        <w:trPr>
          <w:trHeight w:val="583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 (0.20, 1.76)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0.959</w:t>
            </w:r>
          </w:p>
        </w:tc>
      </w:tr>
      <w:tr>
        <w:trPr>
          <w:trHeight w:val="583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 (0.28,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0.959</w:t>
            </w:r>
          </w:p>
        </w:tc>
      </w:tr>
      <w:tr>
        <w:trPr>
          <w:trHeight w:val="583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 (0.32,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0.959</w:t>
            </w:r>
          </w:p>
        </w:tc>
      </w:tr>
      <w:tr>
        <w:trPr>
          <w:trHeight w:val="583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1.03 (0.37,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0.959</w:t>
            </w:r>
          </w:p>
        </w:tc>
      </w:tr>
      <w:tr>
        <w:trPr>
          <w:trHeight w:val="584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 (0.16, 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0.524</w:t>
            </w:r>
          </w:p>
        </w:tc>
      </w:tr>
      <w:tr>
        <w:trPr>
          <w:trHeight w:val="584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 (0.15,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0.524</w:t>
            </w:r>
          </w:p>
        </w:tc>
      </w:tr>
      <w:tr>
        <w:trPr>
          <w:trHeight w:val="584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 (0.15,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0.524</w:t>
            </w:r>
          </w:p>
        </w:tc>
      </w:tr>
      <w:tr>
        <w:trPr>
          <w:trHeight w:val="584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0.60 (0.18,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0.524</w:t>
            </w:r>
          </w:p>
        </w:tc>
      </w:tr>
      <w:tr>
        <w:trPr>
          <w:trHeight w:val="583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 (0.10,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0.759</w:t>
            </w:r>
          </w:p>
        </w:tc>
      </w:tr>
      <w:tr>
        <w:trPr>
          <w:trHeight w:val="583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0.87 (0.34,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0.759</w:t>
            </w:r>
          </w:p>
        </w:tc>
      </w:tr>
      <w:tr>
        <w:trPr>
          <w:trHeight w:val="583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1.16 (0.58, 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0.759</w:t>
            </w:r>
          </w:p>
        </w:tc>
      </w:tr>
      <w:tr>
        <w:trPr>
          <w:trHeight w:val="583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0.80 (0.30, 2.15)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0.759</w:t>
            </w:r>
          </w:p>
        </w:tc>
      </w:tr>
    </w:tbl>
    <w:p>
      <w:pPr>
        <w:pStyle w:val="Normal"/>
      </w:pPr>
      <w:r>
        <w:t xml:space="preserve">
Note: Bold entries indicate statistical significance at the False Discovery Rate (BH) adjusted p &lt; 0.05 level calculated locally per distinct variable baseline array within each specific region block.
</w:t>
      </w:r>
    </w:p>
    <w:p>
      <w:pPr>
        <w:pStyle w:val="Titre1"/>
      </w:pPr>
      <w:r>
        <w:t xml:space="preserve">Table CC.1-B: Stratified Single-Variable Case-Crossover Odds Ratios for Secondary Atmospheric Predictors Across Lags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1546"/>
        <w:gridCol w:w="1186"/>
        <w:gridCol w:w="3973"/>
        <w:gridCol w:w="2712"/>
        <w:gridCol w:w="1429"/>
        <w:gridCol w:w="2253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Secondary Atmospheric Predictor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Crude Odds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Raw p-value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FDR-Adjusted p-value</w:t>
            </w:r>
          </w:p>
        </w:tc>
      </w:tr>
      <w:tr>
        <w:trPr>
          <w:trHeight w:val="583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0.97 (0.69, 1.35)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0.837</w:t>
            </w:r>
          </w:p>
        </w:tc>
      </w:tr>
      <w:tr>
        <w:trPr>
          <w:trHeight w:val="583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1.23 (0.87,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0.365</w:t>
            </w:r>
          </w:p>
        </w:tc>
      </w:tr>
      <w:tr>
        <w:trPr>
          <w:trHeight w:val="58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1.22 (0.86,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0.365</w:t>
            </w:r>
          </w:p>
        </w:tc>
      </w:tr>
      <w:tr>
        <w:trPr>
          <w:trHeight w:val="583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1.24 (0.88,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0.365</w:t>
            </w:r>
          </w:p>
        </w:tc>
      </w:tr>
      <w:tr>
        <w:trPr>
          <w:trHeight w:val="58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0.76 (0.51,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0.361</w:t>
            </w:r>
          </w:p>
        </w:tc>
      </w:tr>
      <w:tr>
        <w:trPr>
          <w:trHeight w:val="58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0.81 (0.55,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0.369</w:t>
            </w:r>
          </w:p>
        </w:tc>
      </w:tr>
      <w:tr>
        <w:trPr>
          <w:trHeight w:val="58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0.94 (0.62,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0.777</w:t>
            </w:r>
          </w:p>
        </w:tc>
      </w:tr>
      <w:tr>
        <w:trPr>
          <w:trHeight w:val="584" w:hRule="auto"/>
        </w:trPr>
        body 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1.60 (1.00, 2.55)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0.198</w:t>
            </w:r>
          </w:p>
        </w:tc>
      </w:tr>
      <w:tr>
        <w:trPr>
          <w:trHeight w:val="583" w:hRule="auto"/>
        </w:trPr>
        body 9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1.86 (1.03, 3.37)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0.039</w:t>
            </w:r>
          </w:p>
        </w:tc>
      </w:tr>
      <w:tr>
        <w:trPr>
          <w:trHeight w:val="583" w:hRule="auto"/>
        </w:trPr>
        body10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2.25 (1.20, 4.22)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0.015</w:t>
            </w:r>
          </w:p>
        </w:tc>
      </w:tr>
      <w:tr>
        <w:trPr>
          <w:trHeight w:val="58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2.35 (1.26, 4.40)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0.015</w:t>
            </w:r>
          </w:p>
        </w:tc>
      </w:tr>
      <w:tr>
        <w:trPr>
          <w:trHeight w:val="583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2.30 (1.28,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9"/>
                <w:szCs w:val="19"/>
                <w:color w:val="000000"/>
              </w:rPr>
              <w:t xml:space="preserve">0.015</w:t>
            </w:r>
          </w:p>
        </w:tc>
      </w:tr>
      <w:tr>
        <w:trPr>
          <w:trHeight w:val="584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0.91 (0.49,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0.753</w:t>
            </w:r>
          </w:p>
        </w:tc>
      </w:tr>
      <w:tr>
        <w:trPr>
          <w:trHeight w:val="584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1.38 (0.77,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0.509</w:t>
            </w:r>
          </w:p>
        </w:tc>
      </w:tr>
      <w:tr>
        <w:trPr>
          <w:trHeight w:val="584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1.30 (0.73,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0.509</w:t>
            </w:r>
          </w:p>
        </w:tc>
      </w:tr>
      <w:tr>
        <w:trPr>
          <w:trHeight w:val="584" w:hRule="auto"/>
        </w:trPr>
        body16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1.75 (0.96, 3.18)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0.266</w:t>
            </w:r>
          </w:p>
        </w:tc>
      </w:tr>
      <w:tr>
        <w:trPr>
          <w:trHeight w:val="583" w:hRule="auto"/>
        </w:trPr>
        body17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1.11 (0.53, 2.35)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0.780</w:t>
            </w:r>
          </w:p>
        </w:tc>
      </w:tr>
      <w:tr>
        <w:trPr>
          <w:trHeight w:val="583" w:hRule="auto"/>
        </w:trPr>
        body18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1.23 (0.55,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0.780</w:t>
            </w:r>
          </w:p>
        </w:tc>
      </w:tr>
      <w:tr>
        <w:trPr>
          <w:trHeight w:val="583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1.59 (0.72, 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0.494</w:t>
            </w:r>
          </w:p>
        </w:tc>
      </w:tr>
      <w:tr>
        <w:trPr>
          <w:trHeight w:val="583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1.62 (0.72, 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0.494</w:t>
            </w:r>
          </w:p>
        </w:tc>
      </w:tr>
      <w:tr>
        <w:trPr>
          <w:trHeight w:val="584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1.21 (0.66,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0.595</w:t>
            </w:r>
          </w:p>
        </w:tc>
      </w:tr>
      <w:tr>
        <w:trPr>
          <w:trHeight w:val="584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0.82 (0.40,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0.595</w:t>
            </w:r>
          </w:p>
        </w:tc>
      </w:tr>
      <w:tr>
        <w:trPr>
          <w:trHeight w:val="584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0.69 (0.37,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0.595</w:t>
            </w:r>
          </w:p>
        </w:tc>
      </w:tr>
      <w:tr>
        <w:trPr>
          <w:trHeight w:val="584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1.41 (0.68, 2.89)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0.595</w:t>
            </w:r>
          </w:p>
        </w:tc>
      </w:tr>
      <w:tr>
        <w:trPr>
          <w:trHeight w:val="583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0.21 (0.02, 1.93)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0.169</w:t>
            </w:r>
          </w:p>
        </w:tc>
      </w:tr>
      <w:tr>
        <w:trPr>
          <w:trHeight w:val="583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0.17 (0.02,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0.169</w:t>
            </w:r>
          </w:p>
        </w:tc>
      </w:tr>
      <w:tr>
        <w:trPr>
          <w:trHeight w:val="583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0.09 (0.01,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0.103</w:t>
            </w:r>
          </w:p>
        </w:tc>
      </w:tr>
      <w:tr>
        <w:trPr>
          <w:trHeight w:val="583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Air Temperature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0.04 (0.00,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0.103</w:t>
            </w:r>
          </w:p>
        </w:tc>
      </w:tr>
      <w:tr>
        <w:trPr>
          <w:trHeight w:val="584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0.66 (0.25,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0.645</w:t>
            </w:r>
          </w:p>
        </w:tc>
      </w:tr>
      <w:tr>
        <w:trPr>
          <w:trHeight w:val="584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1.19 (0.40, 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0.753</w:t>
            </w:r>
          </w:p>
        </w:tc>
      </w:tr>
      <w:tr>
        <w:trPr>
          <w:trHeight w:val="584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0.71 (0.27,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0.645</w:t>
            </w:r>
          </w:p>
        </w:tc>
      </w:tr>
      <w:tr>
        <w:trPr>
          <w:trHeight w:val="584" w:hRule="auto"/>
        </w:trPr>
        body32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Relative Humidity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0.39 (0.14, 1.13)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0.332</w:t>
            </w:r>
          </w:p>
        </w:tc>
      </w:tr>
    </w:tbl>
    <w:p>
      <w:pPr>
        <w:pStyle w:val="Normal"/>
      </w:pPr>
      <w:r>
        <w:t xml:space="preserve">
Note: Bold entries indicate statistical significance at the Benjamini-Hochberg FDR-adjusted p &lt; 0.05 level calculated locally per regional parameter family framework.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2026-08-06T09:29:02Z</dcterms:modified>
  <cp:category/>
</cp:coreProperties>
</file>