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22658" w14:textId="77777777" w:rsidR="003E7B60" w:rsidRPr="003E7B60" w:rsidRDefault="003E7B60" w:rsidP="003E7B60">
      <w:r w:rsidRPr="003E7B60">
        <w:rPr>
          <w:b/>
          <w:bCs/>
        </w:rPr>
        <w:t>Title</w:t>
      </w:r>
      <w:r w:rsidRPr="003E7B60">
        <w:t>: Informed Consent Document for a Phase 2 Neurological Disorder Study</w:t>
      </w:r>
    </w:p>
    <w:p w14:paraId="2B45DDCE" w14:textId="77777777" w:rsidR="003E7B60" w:rsidRPr="003E7B60" w:rsidRDefault="003E7B60" w:rsidP="003E7B60">
      <w:r w:rsidRPr="003E7B60">
        <w:rPr>
          <w:b/>
          <w:bCs/>
        </w:rPr>
        <w:t>Introduction</w:t>
      </w:r>
      <w:r w:rsidRPr="003E7B60">
        <w:br/>
        <w:t>We invite you to participate in a clinical investigation evaluating the investigational agent, NeuroLex200, for individuals diagnosed with moderate to severe neurodegenerative conditions. Your involvement in this study is completely voluntary.</w:t>
      </w:r>
    </w:p>
    <w:p w14:paraId="325AE787" w14:textId="77777777" w:rsidR="003E7B60" w:rsidRPr="003E7B60" w:rsidRDefault="003E7B60" w:rsidP="003E7B60">
      <w:r w:rsidRPr="003E7B60">
        <w:rPr>
          <w:b/>
          <w:bCs/>
        </w:rPr>
        <w:t>Study Purpose</w:t>
      </w:r>
      <w:r w:rsidRPr="003E7B60">
        <w:br/>
        <w:t xml:space="preserve">Neurodegenerative disorders encompass a range of debilitating conditions characterized by progressive neurological decline. Our objective is to ascertain whether NeuroLex200 can ameliorate symptom severity, delay disease progression, and maintain an acceptable safety profile when compared with </w:t>
      </w:r>
      <w:proofErr w:type="gramStart"/>
      <w:r w:rsidRPr="003E7B60">
        <w:t>a placebo</w:t>
      </w:r>
      <w:proofErr w:type="gramEnd"/>
      <w:r w:rsidRPr="003E7B60">
        <w:t>.</w:t>
      </w:r>
    </w:p>
    <w:p w14:paraId="6470E8A7" w14:textId="77777777" w:rsidR="003E7B60" w:rsidRPr="003E7B60" w:rsidRDefault="003E7B60" w:rsidP="003E7B60">
      <w:r w:rsidRPr="003E7B60">
        <w:rPr>
          <w:b/>
          <w:bCs/>
        </w:rPr>
        <w:t>Procedures</w:t>
      </w:r>
    </w:p>
    <w:p w14:paraId="5A9A3ADD" w14:textId="77777777" w:rsidR="003E7B60" w:rsidRPr="003E7B60" w:rsidRDefault="003E7B60" w:rsidP="003E7B60">
      <w:pPr>
        <w:numPr>
          <w:ilvl w:val="0"/>
          <w:numId w:val="1"/>
        </w:numPr>
      </w:pPr>
      <w:r w:rsidRPr="003E7B60">
        <w:rPr>
          <w:b/>
          <w:bCs/>
        </w:rPr>
        <w:t>Screening</w:t>
      </w:r>
      <w:r w:rsidRPr="003E7B60">
        <w:t>: Comprehensive medical assessments, including neurological exams and blood tests, will establish your eligibility.</w:t>
      </w:r>
    </w:p>
    <w:p w14:paraId="69D11536" w14:textId="77777777" w:rsidR="003E7B60" w:rsidRPr="003E7B60" w:rsidRDefault="003E7B60" w:rsidP="003E7B60">
      <w:pPr>
        <w:numPr>
          <w:ilvl w:val="0"/>
          <w:numId w:val="1"/>
        </w:numPr>
      </w:pPr>
      <w:r w:rsidRPr="003E7B60">
        <w:rPr>
          <w:b/>
          <w:bCs/>
        </w:rPr>
        <w:t>Randomization</w:t>
      </w:r>
      <w:r w:rsidRPr="003E7B60">
        <w:t>: Participants will be assigned randomly to receive either NeuroLex200 or placebo in a double-blind manner, ensuring neither you nor the study team knows which treatment you receive until the study concludes.</w:t>
      </w:r>
    </w:p>
    <w:p w14:paraId="1527AC29" w14:textId="77777777" w:rsidR="003E7B60" w:rsidRPr="003E7B60" w:rsidRDefault="003E7B60" w:rsidP="003E7B60">
      <w:pPr>
        <w:numPr>
          <w:ilvl w:val="0"/>
          <w:numId w:val="1"/>
        </w:numPr>
      </w:pPr>
      <w:r w:rsidRPr="003E7B60">
        <w:rPr>
          <w:b/>
          <w:bCs/>
        </w:rPr>
        <w:t>Visits</w:t>
      </w:r>
      <w:r w:rsidRPr="003E7B60">
        <w:t>: Clinic evaluations will occur approximately every six weeks to document changes in motor function, cognitive assessments, and overall health.</w:t>
      </w:r>
    </w:p>
    <w:p w14:paraId="2E0457D2" w14:textId="77777777" w:rsidR="003E7B60" w:rsidRPr="003E7B60" w:rsidRDefault="003E7B60" w:rsidP="003E7B60">
      <w:pPr>
        <w:numPr>
          <w:ilvl w:val="0"/>
          <w:numId w:val="1"/>
        </w:numPr>
      </w:pPr>
      <w:r w:rsidRPr="003E7B60">
        <w:rPr>
          <w:b/>
          <w:bCs/>
        </w:rPr>
        <w:t>Duration</w:t>
      </w:r>
      <w:r w:rsidRPr="003E7B60">
        <w:t>: Your total involvement will span roughly 26 weeks, incorporating an initial screening phase, an active treatment phase, and a follow-up visit.</w:t>
      </w:r>
    </w:p>
    <w:p w14:paraId="77A9CC3B" w14:textId="77777777" w:rsidR="003E7B60" w:rsidRPr="003E7B60" w:rsidRDefault="003E7B60" w:rsidP="003E7B60">
      <w:r w:rsidRPr="003E7B60">
        <w:rPr>
          <w:b/>
          <w:bCs/>
        </w:rPr>
        <w:t>Potential Risks and Benefits</w:t>
      </w:r>
    </w:p>
    <w:p w14:paraId="480CF56F" w14:textId="77777777" w:rsidR="003E7B60" w:rsidRPr="003E7B60" w:rsidRDefault="003E7B60" w:rsidP="003E7B60">
      <w:pPr>
        <w:numPr>
          <w:ilvl w:val="0"/>
          <w:numId w:val="2"/>
        </w:numPr>
      </w:pPr>
      <w:r w:rsidRPr="003E7B60">
        <w:rPr>
          <w:b/>
          <w:bCs/>
        </w:rPr>
        <w:t>Risks</w:t>
      </w:r>
      <w:r w:rsidRPr="003E7B60">
        <w:t>: Adverse effects may include dizziness, gastrointestinal disturbances, or possible immunological reactions. In rare instances, serious neurological complications could arise.</w:t>
      </w:r>
    </w:p>
    <w:p w14:paraId="343082DC" w14:textId="77777777" w:rsidR="003E7B60" w:rsidRPr="003E7B60" w:rsidRDefault="003E7B60" w:rsidP="003E7B60">
      <w:pPr>
        <w:numPr>
          <w:ilvl w:val="0"/>
          <w:numId w:val="2"/>
        </w:numPr>
      </w:pPr>
      <w:r w:rsidRPr="003E7B60">
        <w:rPr>
          <w:b/>
          <w:bCs/>
        </w:rPr>
        <w:t>Benefits</w:t>
      </w:r>
      <w:r w:rsidRPr="003E7B60">
        <w:t>: Although efficacy is not guaranteed, you may experience improvements in motor control or a slowdown in disease progression, potentially contributing valuable data for future therapeutic strategies.</w:t>
      </w:r>
    </w:p>
    <w:p w14:paraId="4418FC1A" w14:textId="77777777" w:rsidR="003E7B60" w:rsidRPr="003E7B60" w:rsidRDefault="003E7B60" w:rsidP="003E7B60">
      <w:r w:rsidRPr="003E7B60">
        <w:rPr>
          <w:b/>
          <w:bCs/>
        </w:rPr>
        <w:t>Confidentiality</w:t>
      </w:r>
      <w:r w:rsidRPr="003E7B60">
        <w:br/>
        <w:t>All personal health information will remain confidential per federal regulations. Authorized regulatory agencies and study monitors may review anonymized data for oversight and validation purposes.</w:t>
      </w:r>
    </w:p>
    <w:p w14:paraId="0D8C448B" w14:textId="77777777" w:rsidR="003E7B60" w:rsidRPr="003E7B60" w:rsidRDefault="003E7B60" w:rsidP="003E7B60">
      <w:r w:rsidRPr="003E7B60">
        <w:rPr>
          <w:b/>
          <w:bCs/>
        </w:rPr>
        <w:lastRenderedPageBreak/>
        <w:t>Voluntary Participation</w:t>
      </w:r>
      <w:r w:rsidRPr="003E7B60">
        <w:br/>
        <w:t>Your decision to participate or withdraw at any stage will in no way compromise your standard medical care. You retain the right to end your involvement without penalty or loss of benefits to which you are otherwise entitled.</w:t>
      </w:r>
    </w:p>
    <w:p w14:paraId="58426CBD" w14:textId="77777777" w:rsidR="001036C9" w:rsidRDefault="001036C9"/>
    <w:sectPr w:rsidR="00103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BF7B14"/>
    <w:multiLevelType w:val="multilevel"/>
    <w:tmpl w:val="FE5E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213187"/>
    <w:multiLevelType w:val="multilevel"/>
    <w:tmpl w:val="AC2C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902215">
    <w:abstractNumId w:val="0"/>
  </w:num>
  <w:num w:numId="2" w16cid:durableId="1252154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60"/>
    <w:rsid w:val="00077CED"/>
    <w:rsid w:val="001036C9"/>
    <w:rsid w:val="003E7B60"/>
    <w:rsid w:val="00596531"/>
    <w:rsid w:val="009A5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4B1D2"/>
  <w15:chartTrackingRefBased/>
  <w15:docId w15:val="{872F4241-42F8-44B9-BC02-3499FA2D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B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7B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7B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B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B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B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B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B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B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B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7B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7B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B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B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B60"/>
    <w:rPr>
      <w:rFonts w:eastAsiaTheme="majorEastAsia" w:cstheme="majorBidi"/>
      <w:color w:val="272727" w:themeColor="text1" w:themeTint="D8"/>
    </w:rPr>
  </w:style>
  <w:style w:type="paragraph" w:styleId="Title">
    <w:name w:val="Title"/>
    <w:basedOn w:val="Normal"/>
    <w:next w:val="Normal"/>
    <w:link w:val="TitleChar"/>
    <w:uiPriority w:val="10"/>
    <w:qFormat/>
    <w:rsid w:val="003E7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B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B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B60"/>
    <w:pPr>
      <w:spacing w:before="160"/>
      <w:jc w:val="center"/>
    </w:pPr>
    <w:rPr>
      <w:i/>
      <w:iCs/>
      <w:color w:val="404040" w:themeColor="text1" w:themeTint="BF"/>
    </w:rPr>
  </w:style>
  <w:style w:type="character" w:customStyle="1" w:styleId="QuoteChar">
    <w:name w:val="Quote Char"/>
    <w:basedOn w:val="DefaultParagraphFont"/>
    <w:link w:val="Quote"/>
    <w:uiPriority w:val="29"/>
    <w:rsid w:val="003E7B60"/>
    <w:rPr>
      <w:i/>
      <w:iCs/>
      <w:color w:val="404040" w:themeColor="text1" w:themeTint="BF"/>
    </w:rPr>
  </w:style>
  <w:style w:type="paragraph" w:styleId="ListParagraph">
    <w:name w:val="List Paragraph"/>
    <w:basedOn w:val="Normal"/>
    <w:uiPriority w:val="34"/>
    <w:qFormat/>
    <w:rsid w:val="003E7B60"/>
    <w:pPr>
      <w:ind w:left="720"/>
      <w:contextualSpacing/>
    </w:pPr>
  </w:style>
  <w:style w:type="character" w:styleId="IntenseEmphasis">
    <w:name w:val="Intense Emphasis"/>
    <w:basedOn w:val="DefaultParagraphFont"/>
    <w:uiPriority w:val="21"/>
    <w:qFormat/>
    <w:rsid w:val="003E7B60"/>
    <w:rPr>
      <w:i/>
      <w:iCs/>
      <w:color w:val="0F4761" w:themeColor="accent1" w:themeShade="BF"/>
    </w:rPr>
  </w:style>
  <w:style w:type="paragraph" w:styleId="IntenseQuote">
    <w:name w:val="Intense Quote"/>
    <w:basedOn w:val="Normal"/>
    <w:next w:val="Normal"/>
    <w:link w:val="IntenseQuoteChar"/>
    <w:uiPriority w:val="30"/>
    <w:qFormat/>
    <w:rsid w:val="003E7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B60"/>
    <w:rPr>
      <w:i/>
      <w:iCs/>
      <w:color w:val="0F4761" w:themeColor="accent1" w:themeShade="BF"/>
    </w:rPr>
  </w:style>
  <w:style w:type="character" w:styleId="IntenseReference">
    <w:name w:val="Intense Reference"/>
    <w:basedOn w:val="DefaultParagraphFont"/>
    <w:uiPriority w:val="32"/>
    <w:qFormat/>
    <w:rsid w:val="003E7B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407726">
      <w:bodyDiv w:val="1"/>
      <w:marLeft w:val="0"/>
      <w:marRight w:val="0"/>
      <w:marTop w:val="0"/>
      <w:marBottom w:val="0"/>
      <w:divBdr>
        <w:top w:val="none" w:sz="0" w:space="0" w:color="auto"/>
        <w:left w:val="none" w:sz="0" w:space="0" w:color="auto"/>
        <w:bottom w:val="none" w:sz="0" w:space="0" w:color="auto"/>
        <w:right w:val="none" w:sz="0" w:space="0" w:color="auto"/>
      </w:divBdr>
    </w:div>
    <w:div w:id="171889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Taha</dc:creator>
  <cp:keywords/>
  <dc:description/>
  <cp:lastModifiedBy>Rebecca Taha</cp:lastModifiedBy>
  <cp:revision>1</cp:revision>
  <dcterms:created xsi:type="dcterms:W3CDTF">2025-04-01T22:28:00Z</dcterms:created>
  <dcterms:modified xsi:type="dcterms:W3CDTF">2025-04-01T22:28:00Z</dcterms:modified>
</cp:coreProperties>
</file>