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3FBDF" w14:textId="132ACAE9" w:rsidR="000D53A5" w:rsidRPr="000D53A5" w:rsidRDefault="000D53A5" w:rsidP="000D53A5">
      <w:pPr>
        <w:pStyle w:val="Heading1"/>
      </w:pPr>
      <w:r w:rsidRPr="000D53A5">
        <w:t xml:space="preserve">Generative AI Evaluation Plan for </w:t>
      </w:r>
      <w:r w:rsidR="00754B84">
        <w:t>Informed Consent Master Plan</w:t>
      </w:r>
    </w:p>
    <w:p w14:paraId="3659645E" w14:textId="37D18434" w:rsidR="000D53A5" w:rsidRDefault="000D53A5" w:rsidP="000D53A5">
      <w:r w:rsidRPr="000D53A5">
        <w:rPr>
          <w:b/>
          <w:bCs/>
        </w:rPr>
        <w:t>Date:</w:t>
      </w:r>
      <w:r w:rsidRPr="000D53A5">
        <w:t xml:space="preserve"> </w:t>
      </w:r>
      <w:r w:rsidR="00544A5D">
        <w:t>7 Apr 2025</w:t>
      </w:r>
    </w:p>
    <w:p w14:paraId="2A754203" w14:textId="4E100633" w:rsidR="00AD2027" w:rsidRDefault="00AD2027" w:rsidP="000D53A5">
      <w:pPr>
        <w:rPr>
          <w:b/>
          <w:bCs/>
        </w:rPr>
      </w:pPr>
      <w:r>
        <w:rPr>
          <w:b/>
          <w:bCs/>
        </w:rPr>
        <w:t>Sponsor: Acme</w:t>
      </w:r>
      <w:r w:rsidR="00422B8F">
        <w:rPr>
          <w:b/>
          <w:bCs/>
        </w:rPr>
        <w:t xml:space="preserve"> Corp</w:t>
      </w:r>
    </w:p>
    <w:p w14:paraId="0725302F" w14:textId="4044CCE5" w:rsidR="000D53A5" w:rsidRPr="007D7F16" w:rsidRDefault="000D53A5" w:rsidP="000D53A5">
      <w:r w:rsidRPr="000D53A5">
        <w:rPr>
          <w:b/>
          <w:bCs/>
        </w:rPr>
        <w:t>Prepared by:</w:t>
      </w:r>
      <w:r w:rsidRPr="000D53A5">
        <w:t xml:space="preserve"> </w:t>
      </w:r>
      <w:r w:rsidR="00544A5D">
        <w:t>John Smith</w:t>
      </w:r>
      <w:r w:rsidRPr="000D53A5">
        <w:br/>
      </w:r>
      <w:r w:rsidRPr="000D53A5">
        <w:rPr>
          <w:b/>
          <w:bCs/>
        </w:rPr>
        <w:t>Intended Audience</w:t>
      </w:r>
      <w:r w:rsidRPr="007D7F16">
        <w:rPr>
          <w:b/>
          <w:bCs/>
        </w:rPr>
        <w:t>:</w:t>
      </w:r>
      <w:r w:rsidRPr="007D7F16">
        <w:t xml:space="preserve"> Clinical Development, Medical Writing, Regulatory Affairs, AI Governance</w:t>
      </w:r>
    </w:p>
    <w:p w14:paraId="38B63EEC" w14:textId="77777777" w:rsidR="000D53A5" w:rsidRPr="000D53A5" w:rsidRDefault="00000000" w:rsidP="000D53A5">
      <w:r>
        <w:pict w14:anchorId="75549F56">
          <v:rect id="_x0000_i1025" style="width:0;height:1.5pt" o:hralign="center" o:hrstd="t" o:hr="t" fillcolor="#a0a0a0" stroked="f"/>
        </w:pict>
      </w:r>
    </w:p>
    <w:p w14:paraId="4298BCA3" w14:textId="77777777" w:rsidR="000D53A5" w:rsidRPr="000D53A5" w:rsidRDefault="000D53A5" w:rsidP="000D53A5">
      <w:pPr>
        <w:pStyle w:val="Heading2"/>
      </w:pPr>
      <w:r w:rsidRPr="000D53A5">
        <w:t>1. Purpose of the AI Evaluation Plan</w:t>
      </w:r>
    </w:p>
    <w:p w14:paraId="788993BA" w14:textId="7055C11F" w:rsidR="000D53A5" w:rsidRPr="00190E98" w:rsidRDefault="000D53A5" w:rsidP="000D53A5">
      <w:r w:rsidRPr="000D53A5">
        <w:t xml:space="preserve">This document outlines the </w:t>
      </w:r>
      <w:r w:rsidRPr="000D53A5">
        <w:rPr>
          <w:b/>
          <w:bCs/>
        </w:rPr>
        <w:t xml:space="preserve">evaluation </w:t>
      </w:r>
      <w:r w:rsidRPr="00190E98">
        <w:rPr>
          <w:b/>
          <w:bCs/>
        </w:rPr>
        <w:t>framework</w:t>
      </w:r>
      <w:r w:rsidRPr="00190E98">
        <w:t xml:space="preserve"> for assessing </w:t>
      </w:r>
      <w:r w:rsidR="00A82CAF">
        <w:t xml:space="preserve">artificial intelligence (AI) </w:t>
      </w:r>
      <w:r w:rsidRPr="00190E98">
        <w:t xml:space="preserve">-generated clinical trial </w:t>
      </w:r>
      <w:r w:rsidR="009E55B4" w:rsidRPr="00190E98">
        <w:t>informed consent</w:t>
      </w:r>
      <w:r w:rsidRPr="00190E98">
        <w:t xml:space="preserve"> </w:t>
      </w:r>
      <w:r w:rsidR="00190E98">
        <w:t xml:space="preserve">documents </w:t>
      </w:r>
      <w:r w:rsidRPr="00190E98">
        <w:t xml:space="preserve">to ensure </w:t>
      </w:r>
      <w:r w:rsidR="009E55B4" w:rsidRPr="00190E98">
        <w:t xml:space="preserve">appropriate </w:t>
      </w:r>
      <w:r w:rsidR="009E55B4" w:rsidRPr="00190E98">
        <w:rPr>
          <w:b/>
          <w:bCs/>
        </w:rPr>
        <w:t>readability</w:t>
      </w:r>
      <w:r w:rsidRPr="00190E98">
        <w:rPr>
          <w:b/>
          <w:bCs/>
        </w:rPr>
        <w:t>, regulatory compliance,</w:t>
      </w:r>
      <w:r w:rsidR="002A1442">
        <w:rPr>
          <w:b/>
          <w:bCs/>
        </w:rPr>
        <w:t xml:space="preserve"> clarity, consistency, </w:t>
      </w:r>
      <w:r w:rsidR="00235348">
        <w:rPr>
          <w:b/>
          <w:bCs/>
        </w:rPr>
        <w:t xml:space="preserve">accuracy, </w:t>
      </w:r>
      <w:r w:rsidR="002A1442">
        <w:rPr>
          <w:b/>
          <w:bCs/>
        </w:rPr>
        <w:t xml:space="preserve">and </w:t>
      </w:r>
      <w:r w:rsidR="009E55B4" w:rsidRPr="00190E98">
        <w:rPr>
          <w:b/>
          <w:bCs/>
        </w:rPr>
        <w:t>bias</w:t>
      </w:r>
      <w:r w:rsidRPr="00190E98">
        <w:t xml:space="preserve"> before stakeholder review and submission.</w:t>
      </w:r>
    </w:p>
    <w:p w14:paraId="50F53098" w14:textId="77777777" w:rsidR="000D53A5" w:rsidRPr="000D53A5" w:rsidRDefault="00000000" w:rsidP="000D53A5">
      <w:r>
        <w:pict w14:anchorId="4A718CF8">
          <v:rect id="_x0000_i1026" style="width:0;height:1.5pt" o:hralign="center" o:hrstd="t" o:hr="t" fillcolor="#a0a0a0" stroked="f"/>
        </w:pict>
      </w:r>
    </w:p>
    <w:p w14:paraId="695611F4" w14:textId="77777777" w:rsidR="000D53A5" w:rsidRPr="000D53A5" w:rsidRDefault="000D53A5" w:rsidP="000D53A5">
      <w:pPr>
        <w:pStyle w:val="Heading2"/>
      </w:pPr>
      <w:r w:rsidRPr="000D53A5">
        <w:t>2. Scope of AI-Generated Protocol Evaluation</w:t>
      </w:r>
    </w:p>
    <w:p w14:paraId="07700E99" w14:textId="7C444545" w:rsidR="00373945" w:rsidRPr="000D53A5" w:rsidRDefault="000D53A5" w:rsidP="000D53A5">
      <w:r w:rsidRPr="000D53A5">
        <w:t xml:space="preserve">This </w:t>
      </w:r>
      <w:r w:rsidR="000C29F4">
        <w:t xml:space="preserve">document </w:t>
      </w:r>
      <w:r w:rsidR="00373945">
        <w:t xml:space="preserve">provides guidance </w:t>
      </w:r>
      <w:r w:rsidR="00CF2B29">
        <w:t>for individual studies</w:t>
      </w:r>
      <w:r w:rsidR="00B36769">
        <w:t xml:space="preserve">, </w:t>
      </w:r>
      <w:r w:rsidRPr="000D53A5">
        <w:t xml:space="preserve">applies to all </w:t>
      </w:r>
      <w:r w:rsidR="00BA4F2E">
        <w:t xml:space="preserve">studies </w:t>
      </w:r>
      <w:r w:rsidR="00E920A9">
        <w:t>involving patients</w:t>
      </w:r>
      <w:r w:rsidR="00B36769">
        <w:t>,</w:t>
      </w:r>
      <w:r w:rsidR="00E920A9">
        <w:t xml:space="preserve"> and where the </w:t>
      </w:r>
      <w:r w:rsidR="00987C00">
        <w:t>informed consent documents</w:t>
      </w:r>
      <w:r w:rsidRPr="000D53A5">
        <w:t xml:space="preserve"> </w:t>
      </w:r>
      <w:r w:rsidR="00E920A9">
        <w:t xml:space="preserve">are </w:t>
      </w:r>
      <w:r w:rsidRPr="000D53A5">
        <w:rPr>
          <w:b/>
          <w:bCs/>
        </w:rPr>
        <w:t>partially or fully generated</w:t>
      </w:r>
      <w:r w:rsidRPr="000D53A5">
        <w:t xml:space="preserve"> using </w:t>
      </w:r>
      <w:r w:rsidRPr="000D53A5">
        <w:rPr>
          <w:b/>
          <w:bCs/>
        </w:rPr>
        <w:t>Generative AI</w:t>
      </w:r>
      <w:r w:rsidRPr="000D53A5">
        <w:t xml:space="preserve"> models</w:t>
      </w:r>
      <w:r w:rsidR="00987C00">
        <w:t>.</w:t>
      </w:r>
      <w:r w:rsidR="000C29F4">
        <w:t xml:space="preserve">  </w:t>
      </w:r>
      <w:r w:rsidR="00CF2B29">
        <w:t xml:space="preserve">The scope of this document applies to the following approved </w:t>
      </w:r>
      <w:r w:rsidR="00407A7C">
        <w:t xml:space="preserve">instances of </w:t>
      </w:r>
      <w:r w:rsidR="00CF2B29">
        <w:t>utilization</w:t>
      </w:r>
      <w:r w:rsidR="001E3F92">
        <w:t xml:space="preserve"> of AI for the purposes below:</w:t>
      </w:r>
    </w:p>
    <w:p w14:paraId="61FDB75B" w14:textId="77777777" w:rsidR="00EF69D2" w:rsidRPr="00EF69D2" w:rsidRDefault="00EF69D2" w:rsidP="00EF69D2">
      <w:r w:rsidRPr="00EF69D2">
        <w:rPr>
          <w:rFonts w:ascii="Segoe UI Emoji" w:hAnsi="Segoe UI Emoji" w:cs="Segoe UI Emoji"/>
        </w:rPr>
        <w:t>🔹</w:t>
      </w:r>
      <w:r w:rsidRPr="00EF69D2">
        <w:t xml:space="preserve"> </w:t>
      </w:r>
      <w:r w:rsidRPr="00EF69D2">
        <w:rPr>
          <w:b/>
          <w:bCs/>
        </w:rPr>
        <w:t>Automated Drafting</w:t>
      </w:r>
      <w:r w:rsidRPr="00EF69D2">
        <w:t>:</w:t>
      </w:r>
    </w:p>
    <w:p w14:paraId="5D700695" w14:textId="77777777" w:rsidR="00EF69D2" w:rsidRPr="00EF69D2" w:rsidRDefault="00EF69D2" w:rsidP="00EF69D2">
      <w:pPr>
        <w:numPr>
          <w:ilvl w:val="0"/>
          <w:numId w:val="4"/>
        </w:numPr>
      </w:pPr>
      <w:r w:rsidRPr="00EF69D2">
        <w:t xml:space="preserve">AI can generate </w:t>
      </w:r>
      <w:r w:rsidRPr="00EF69D2">
        <w:rPr>
          <w:b/>
          <w:bCs/>
        </w:rPr>
        <w:t>initial drafts</w:t>
      </w:r>
      <w:r w:rsidRPr="00EF69D2">
        <w:t xml:space="preserve"> of informed consent documents based on structured templates, trial protocols, and regulatory guidelines.</w:t>
      </w:r>
    </w:p>
    <w:p w14:paraId="2DB96AE1" w14:textId="77777777" w:rsidR="00EF69D2" w:rsidRPr="00EF69D2" w:rsidRDefault="00EF69D2" w:rsidP="00EF69D2">
      <w:pPr>
        <w:numPr>
          <w:ilvl w:val="0"/>
          <w:numId w:val="4"/>
        </w:numPr>
      </w:pPr>
      <w:r w:rsidRPr="00EF69D2">
        <w:t xml:space="preserve">Customization for </w:t>
      </w:r>
      <w:r w:rsidRPr="00EF69D2">
        <w:rPr>
          <w:b/>
          <w:bCs/>
        </w:rPr>
        <w:t>specific studies, patient populations, and trial phases</w:t>
      </w:r>
      <w:r w:rsidRPr="00EF69D2">
        <w:t>.</w:t>
      </w:r>
    </w:p>
    <w:p w14:paraId="3D461108" w14:textId="77777777" w:rsidR="00EF69D2" w:rsidRPr="00EF69D2" w:rsidRDefault="00EF69D2" w:rsidP="00EF69D2">
      <w:r w:rsidRPr="00EF69D2">
        <w:rPr>
          <w:rFonts w:ascii="Segoe UI Emoji" w:hAnsi="Segoe UI Emoji" w:cs="Segoe UI Emoji"/>
        </w:rPr>
        <w:t>🔹</w:t>
      </w:r>
      <w:r w:rsidRPr="00EF69D2">
        <w:t xml:space="preserve"> </w:t>
      </w:r>
      <w:r w:rsidRPr="00EF69D2">
        <w:rPr>
          <w:b/>
          <w:bCs/>
        </w:rPr>
        <w:t>Personalization &amp; Adaptation</w:t>
      </w:r>
      <w:r w:rsidRPr="00EF69D2">
        <w:t>:</w:t>
      </w:r>
    </w:p>
    <w:p w14:paraId="44082AD6" w14:textId="77777777" w:rsidR="00EF69D2" w:rsidRPr="00EF69D2" w:rsidRDefault="00EF69D2" w:rsidP="00EF69D2">
      <w:pPr>
        <w:numPr>
          <w:ilvl w:val="0"/>
          <w:numId w:val="5"/>
        </w:numPr>
      </w:pPr>
      <w:r w:rsidRPr="00EF69D2">
        <w:rPr>
          <w:b/>
          <w:bCs/>
        </w:rPr>
        <w:t>Demographic-specific tailoring</w:t>
      </w:r>
      <w:r w:rsidRPr="00EF69D2">
        <w:t xml:space="preserve"> (e.g., different literacy levels, languages, cultural sensitivities).</w:t>
      </w:r>
    </w:p>
    <w:p w14:paraId="08601FCC" w14:textId="77777777" w:rsidR="00EF69D2" w:rsidRPr="00EF69D2" w:rsidRDefault="00EF69D2" w:rsidP="00EF69D2">
      <w:pPr>
        <w:numPr>
          <w:ilvl w:val="0"/>
          <w:numId w:val="5"/>
        </w:numPr>
      </w:pPr>
      <w:r w:rsidRPr="00EF69D2">
        <w:rPr>
          <w:b/>
          <w:bCs/>
        </w:rPr>
        <w:t>Dynamic adaptation</w:t>
      </w:r>
      <w:r w:rsidRPr="00EF69D2">
        <w:t xml:space="preserve"> for different conditions (e.g., pediatric trials vs. oncology trials).</w:t>
      </w:r>
    </w:p>
    <w:p w14:paraId="6AB09698" w14:textId="77777777" w:rsidR="00EF69D2" w:rsidRPr="00EF69D2" w:rsidRDefault="00EF69D2" w:rsidP="00EF69D2">
      <w:r w:rsidRPr="00EF69D2">
        <w:rPr>
          <w:rFonts w:ascii="Segoe UI Emoji" w:hAnsi="Segoe UI Emoji" w:cs="Segoe UI Emoji"/>
        </w:rPr>
        <w:lastRenderedPageBreak/>
        <w:t>🔹</w:t>
      </w:r>
      <w:r w:rsidRPr="00EF69D2">
        <w:t xml:space="preserve"> </w:t>
      </w:r>
      <w:r w:rsidRPr="00EF69D2">
        <w:rPr>
          <w:b/>
          <w:bCs/>
        </w:rPr>
        <w:t>Alternative Consent Modalities</w:t>
      </w:r>
      <w:r w:rsidRPr="00EF69D2">
        <w:t>:</w:t>
      </w:r>
    </w:p>
    <w:p w14:paraId="138E3BFC" w14:textId="77777777" w:rsidR="00EF69D2" w:rsidRPr="00EF69D2" w:rsidRDefault="00EF69D2" w:rsidP="00EF69D2">
      <w:pPr>
        <w:numPr>
          <w:ilvl w:val="0"/>
          <w:numId w:val="6"/>
        </w:numPr>
      </w:pPr>
      <w:r w:rsidRPr="00EF69D2">
        <w:t xml:space="preserve">AI can assist in </w:t>
      </w:r>
      <w:r w:rsidRPr="00EF69D2">
        <w:rPr>
          <w:b/>
          <w:bCs/>
        </w:rPr>
        <w:t>simplifying consent</w:t>
      </w:r>
      <w:r w:rsidRPr="00EF69D2">
        <w:t xml:space="preserve"> for vulnerable populations (e.g., children, elderly, cognitively impaired).</w:t>
      </w:r>
    </w:p>
    <w:p w14:paraId="529FE233" w14:textId="77777777" w:rsidR="00EF69D2" w:rsidRPr="00EF69D2" w:rsidRDefault="00EF69D2" w:rsidP="00EF69D2">
      <w:pPr>
        <w:numPr>
          <w:ilvl w:val="0"/>
          <w:numId w:val="6"/>
        </w:numPr>
      </w:pPr>
      <w:r w:rsidRPr="00EF69D2">
        <w:t xml:space="preserve">Generating </w:t>
      </w:r>
      <w:r w:rsidRPr="00EF69D2">
        <w:rPr>
          <w:b/>
          <w:bCs/>
        </w:rPr>
        <w:t>multimodal consent</w:t>
      </w:r>
      <w:r w:rsidRPr="00EF69D2">
        <w:t xml:space="preserve"> (text-to-speech, video-based consent)</w:t>
      </w:r>
    </w:p>
    <w:p w14:paraId="7A9806D8" w14:textId="77777777" w:rsidR="000D53A5" w:rsidRDefault="000D53A5" w:rsidP="000D53A5">
      <w:pPr>
        <w:sectPr w:rsidR="000D53A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F21EC6F" w14:textId="62B2D2CE" w:rsidR="000D53A5" w:rsidRPr="000D53A5" w:rsidRDefault="000D53A5" w:rsidP="000D53A5"/>
    <w:p w14:paraId="437826B5" w14:textId="717E0F92" w:rsidR="000D53A5" w:rsidRDefault="000D53A5" w:rsidP="000D53A5">
      <w:pPr>
        <w:pStyle w:val="Heading2"/>
      </w:pPr>
      <w:r w:rsidRPr="000D53A5">
        <w:t>3.</w:t>
      </w:r>
      <w:r w:rsidR="005F1CD8">
        <w:t xml:space="preserve"> </w:t>
      </w:r>
      <w:r w:rsidR="00151FB8">
        <w:t xml:space="preserve">Quantitative </w:t>
      </w:r>
      <w:r w:rsidRPr="000D53A5">
        <w:t>Evaluation Metrics and Review Process</w:t>
      </w:r>
    </w:p>
    <w:p w14:paraId="7F438226" w14:textId="5C91CC9B" w:rsidR="005F1CD8" w:rsidRPr="005F1CD8" w:rsidRDefault="005F1CD8" w:rsidP="005F1CD8">
      <w:r>
        <w:t xml:space="preserve">Table 1.0 contains evaluation </w:t>
      </w:r>
      <w:r w:rsidR="00951E19">
        <w:t>categories and criteria which may be used in the evaluation of informed consent documents</w:t>
      </w:r>
      <w:r w:rsidR="00376C06">
        <w:t xml:space="preserve"> </w:t>
      </w:r>
      <w:r w:rsidR="00557F94">
        <w:t xml:space="preserve">(ICD) </w:t>
      </w:r>
      <w:r w:rsidR="00376C06">
        <w:t xml:space="preserve">where document text has been fully or partially constructed or adapted. </w:t>
      </w:r>
      <w:r w:rsidR="00BD72C3">
        <w:t xml:space="preserve">Clinical study teams should select the appropriate criteria according to specific trial contexts and </w:t>
      </w:r>
      <w:r w:rsidR="001841AD">
        <w:t>documented</w:t>
      </w:r>
      <w:r w:rsidR="00BD72C3">
        <w:t xml:space="preserve"> in the Trial-Level Informed Consent Document Evaluation Summary Report.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578"/>
        <w:gridCol w:w="2161"/>
        <w:gridCol w:w="2969"/>
        <w:gridCol w:w="2060"/>
        <w:gridCol w:w="2402"/>
        <w:gridCol w:w="1790"/>
      </w:tblGrid>
      <w:tr w:rsidR="00EA2709" w:rsidRPr="000D53A5" w14:paraId="6B0C93F1" w14:textId="77777777" w:rsidTr="00804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1E87C365" w14:textId="77777777" w:rsidR="008042FB" w:rsidRPr="000D53A5" w:rsidRDefault="008042FB" w:rsidP="000D53A5"/>
        </w:tc>
        <w:tc>
          <w:tcPr>
            <w:tcW w:w="2161" w:type="dxa"/>
            <w:hideMark/>
          </w:tcPr>
          <w:p w14:paraId="7371BE90" w14:textId="06A90DEC" w:rsidR="008042FB" w:rsidRPr="000D53A5" w:rsidRDefault="008042FB" w:rsidP="000D53A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3A5">
              <w:t>Category</w:t>
            </w:r>
          </w:p>
        </w:tc>
        <w:tc>
          <w:tcPr>
            <w:tcW w:w="0" w:type="auto"/>
            <w:hideMark/>
          </w:tcPr>
          <w:p w14:paraId="6DA88382" w14:textId="77777777" w:rsidR="008042FB" w:rsidRPr="000D53A5" w:rsidRDefault="008042FB" w:rsidP="000D53A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3A5">
              <w:t>Evaluation Criteria</w:t>
            </w:r>
          </w:p>
        </w:tc>
        <w:tc>
          <w:tcPr>
            <w:tcW w:w="0" w:type="auto"/>
            <w:hideMark/>
          </w:tcPr>
          <w:p w14:paraId="74CA1353" w14:textId="77777777" w:rsidR="008042FB" w:rsidRPr="000D53A5" w:rsidRDefault="008042FB" w:rsidP="000D53A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3A5">
              <w:t>Quantitative Metric</w:t>
            </w:r>
          </w:p>
        </w:tc>
        <w:tc>
          <w:tcPr>
            <w:tcW w:w="0" w:type="auto"/>
            <w:hideMark/>
          </w:tcPr>
          <w:p w14:paraId="07545629" w14:textId="77777777" w:rsidR="008042FB" w:rsidRPr="000D53A5" w:rsidRDefault="008042FB" w:rsidP="000D53A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3A5">
              <w:t>Threshold for Acceptance</w:t>
            </w:r>
          </w:p>
        </w:tc>
        <w:tc>
          <w:tcPr>
            <w:tcW w:w="0" w:type="auto"/>
            <w:hideMark/>
          </w:tcPr>
          <w:p w14:paraId="497A11E0" w14:textId="77777777" w:rsidR="008042FB" w:rsidRPr="000D53A5" w:rsidRDefault="008042FB" w:rsidP="000D53A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3A5">
              <w:t>Reviewer(s)</w:t>
            </w:r>
          </w:p>
        </w:tc>
      </w:tr>
      <w:tr w:rsidR="00EA2709" w:rsidRPr="000D53A5" w14:paraId="0170D243" w14:textId="77777777" w:rsidTr="00804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7450B71E" w14:textId="110F7B81" w:rsidR="008042FB" w:rsidRDefault="008042FB" w:rsidP="000D53A5">
            <w:r>
              <w:t>Clarity</w:t>
            </w:r>
          </w:p>
        </w:tc>
        <w:tc>
          <w:tcPr>
            <w:tcW w:w="2161" w:type="dxa"/>
          </w:tcPr>
          <w:p w14:paraId="14F65DCA" w14:textId="61667A95" w:rsidR="008042FB" w:rsidRDefault="00B61425" w:rsidP="000D5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of common Words</w:t>
            </w:r>
          </w:p>
        </w:tc>
        <w:tc>
          <w:tcPr>
            <w:tcW w:w="0" w:type="auto"/>
          </w:tcPr>
          <w:p w14:paraId="4A78C275" w14:textId="6E398D46" w:rsidR="008042FB" w:rsidRDefault="008042FB" w:rsidP="000D5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5C8E590" w14:textId="30EDA2C7" w:rsidR="008042FB" w:rsidRDefault="00B35D64" w:rsidP="000D5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Dale-Chall List</w:t>
            </w:r>
          </w:p>
        </w:tc>
        <w:tc>
          <w:tcPr>
            <w:tcW w:w="0" w:type="auto"/>
          </w:tcPr>
          <w:p w14:paraId="571B7DBC" w14:textId="313073DA" w:rsidR="008042FB" w:rsidRDefault="00B35D64" w:rsidP="000D5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80%+ Common words</w:t>
            </w:r>
          </w:p>
        </w:tc>
        <w:tc>
          <w:tcPr>
            <w:tcW w:w="0" w:type="auto"/>
          </w:tcPr>
          <w:p w14:paraId="54B36685" w14:textId="77777777" w:rsidR="008042FB" w:rsidRDefault="008042FB" w:rsidP="000D5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2709" w:rsidRPr="000D53A5" w14:paraId="634FA42E" w14:textId="77777777" w:rsidTr="00804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634769FD" w14:textId="77777777" w:rsidR="008042FB" w:rsidRDefault="008042FB" w:rsidP="000D53A5"/>
        </w:tc>
        <w:tc>
          <w:tcPr>
            <w:tcW w:w="2161" w:type="dxa"/>
            <w:hideMark/>
          </w:tcPr>
          <w:p w14:paraId="5C946F06" w14:textId="69906389" w:rsidR="008042FB" w:rsidRPr="000D53A5" w:rsidRDefault="008042FB" w:rsidP="000D53A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Readability &amp; Comprehension</w:t>
            </w:r>
          </w:p>
        </w:tc>
        <w:tc>
          <w:tcPr>
            <w:tcW w:w="0" w:type="auto"/>
            <w:hideMark/>
          </w:tcPr>
          <w:p w14:paraId="4574175D" w14:textId="41619509" w:rsidR="008042FB" w:rsidRPr="000D53A5" w:rsidRDefault="008042FB" w:rsidP="000D53A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 patient-friendly language, avoiding jargon</w:t>
            </w:r>
          </w:p>
        </w:tc>
        <w:tc>
          <w:tcPr>
            <w:tcW w:w="0" w:type="auto"/>
            <w:hideMark/>
          </w:tcPr>
          <w:p w14:paraId="11B130FE" w14:textId="067EEFB0" w:rsidR="008042FB" w:rsidRPr="000D53A5" w:rsidRDefault="008042FB" w:rsidP="000D53A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Flesch-Kincaid Grade Level</w:t>
            </w:r>
          </w:p>
        </w:tc>
        <w:tc>
          <w:tcPr>
            <w:tcW w:w="0" w:type="auto"/>
            <w:hideMark/>
          </w:tcPr>
          <w:p w14:paraId="55B12A75" w14:textId="1DAEB66C" w:rsidR="008042FB" w:rsidRPr="000D53A5" w:rsidRDefault="008042FB" w:rsidP="000D53A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Grade Level 6-8</w:t>
            </w:r>
          </w:p>
        </w:tc>
        <w:tc>
          <w:tcPr>
            <w:tcW w:w="0" w:type="auto"/>
            <w:hideMark/>
          </w:tcPr>
          <w:p w14:paraId="08B6AE76" w14:textId="369925FC" w:rsidR="008042FB" w:rsidRPr="000D53A5" w:rsidRDefault="008042FB" w:rsidP="000D53A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advocate, ethics committees</w:t>
            </w:r>
          </w:p>
        </w:tc>
      </w:tr>
      <w:tr w:rsidR="00601DC9" w:rsidRPr="000D53A5" w14:paraId="6F192ECA" w14:textId="77777777" w:rsidTr="00804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720B5873" w14:textId="77777777" w:rsidR="00601DC9" w:rsidRDefault="00601DC9" w:rsidP="000D53A5"/>
        </w:tc>
        <w:tc>
          <w:tcPr>
            <w:tcW w:w="2161" w:type="dxa"/>
          </w:tcPr>
          <w:p w14:paraId="384D20A5" w14:textId="3F5EE934" w:rsidR="00601DC9" w:rsidRDefault="00601DC9" w:rsidP="000D5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 clarity</w:t>
            </w:r>
          </w:p>
        </w:tc>
        <w:tc>
          <w:tcPr>
            <w:tcW w:w="0" w:type="auto"/>
          </w:tcPr>
          <w:p w14:paraId="01EA1DC1" w14:textId="77777777" w:rsidR="00601DC9" w:rsidRDefault="00601DC9" w:rsidP="000D5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D84375A" w14:textId="77777777" w:rsidR="00601DC9" w:rsidRDefault="00601DC9" w:rsidP="000D5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44C410E" w14:textId="77777777" w:rsidR="00601DC9" w:rsidRDefault="00601DC9" w:rsidP="000D5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C6879E6" w14:textId="77777777" w:rsidR="00601DC9" w:rsidRDefault="00601DC9" w:rsidP="000D5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0C7C" w:rsidRPr="000D53A5" w14:paraId="5F3A8ED4" w14:textId="77777777" w:rsidTr="00804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657D97AA" w14:textId="77777777" w:rsidR="008042FB" w:rsidRDefault="008042FB" w:rsidP="000D53A5"/>
        </w:tc>
        <w:tc>
          <w:tcPr>
            <w:tcW w:w="2161" w:type="dxa"/>
            <w:hideMark/>
          </w:tcPr>
          <w:p w14:paraId="015A6536" w14:textId="598885B0" w:rsidR="008042FB" w:rsidRPr="000D53A5" w:rsidRDefault="008042FB" w:rsidP="000D53A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Scientific Accuracy</w:t>
            </w:r>
          </w:p>
        </w:tc>
        <w:tc>
          <w:tcPr>
            <w:tcW w:w="0" w:type="auto"/>
            <w:hideMark/>
          </w:tcPr>
          <w:p w14:paraId="03E97CB2" w14:textId="23065D1A" w:rsidR="008042FB" w:rsidRPr="000D53A5" w:rsidRDefault="008042FB" w:rsidP="000D53A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Alignment of study procedures, risks, and benefits with protocol</w:t>
            </w:r>
          </w:p>
        </w:tc>
        <w:tc>
          <w:tcPr>
            <w:tcW w:w="0" w:type="auto"/>
            <w:hideMark/>
          </w:tcPr>
          <w:p w14:paraId="3B8B54EC" w14:textId="77777777" w:rsidR="00EA2709" w:rsidRDefault="00EA2709" w:rsidP="000D53A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Cosine similarity</w:t>
            </w:r>
          </w:p>
          <w:p w14:paraId="2F61755C" w14:textId="03DC7544" w:rsidR="008042FB" w:rsidRPr="000D53A5" w:rsidRDefault="008042FB" w:rsidP="000D53A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NLP similarity score with study protocol</w:t>
            </w:r>
          </w:p>
        </w:tc>
        <w:tc>
          <w:tcPr>
            <w:tcW w:w="0" w:type="auto"/>
            <w:hideMark/>
          </w:tcPr>
          <w:p w14:paraId="48E00E57" w14:textId="2531051F" w:rsidR="008042FB" w:rsidRPr="000D53A5" w:rsidRDefault="008042FB" w:rsidP="000D53A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3A5">
              <w:t>&gt;0.</w:t>
            </w:r>
            <w:r>
              <w:t>85</w:t>
            </w:r>
            <w:r w:rsidRPr="000D53A5">
              <w:t xml:space="preserve"> (high </w:t>
            </w:r>
            <w:r>
              <w:t>similarity with protocol</w:t>
            </w:r>
            <w:r w:rsidRPr="000D53A5">
              <w:t>)</w:t>
            </w:r>
          </w:p>
        </w:tc>
        <w:tc>
          <w:tcPr>
            <w:tcW w:w="0" w:type="auto"/>
            <w:hideMark/>
          </w:tcPr>
          <w:p w14:paraId="5692F7D5" w14:textId="6BE4971B" w:rsidR="008042FB" w:rsidRPr="000D53A5" w:rsidRDefault="008042FB" w:rsidP="000D53A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Clinical SME, IRB reviewers</w:t>
            </w:r>
          </w:p>
        </w:tc>
      </w:tr>
      <w:tr w:rsidR="004B0C7C" w:rsidRPr="000D53A5" w14:paraId="7E9D6BD4" w14:textId="77777777" w:rsidTr="00804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57195FA1" w14:textId="77777777" w:rsidR="008042FB" w:rsidRPr="000D53A5" w:rsidRDefault="008042FB" w:rsidP="000D53A5"/>
        </w:tc>
        <w:tc>
          <w:tcPr>
            <w:tcW w:w="2161" w:type="dxa"/>
            <w:hideMark/>
          </w:tcPr>
          <w:p w14:paraId="64863CCC" w14:textId="53574C5D" w:rsidR="008042FB" w:rsidRPr="000D53A5" w:rsidRDefault="008042FB" w:rsidP="000D53A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3A5">
              <w:t>Regulatory Compliance</w:t>
            </w:r>
          </w:p>
        </w:tc>
        <w:tc>
          <w:tcPr>
            <w:tcW w:w="0" w:type="auto"/>
            <w:hideMark/>
          </w:tcPr>
          <w:p w14:paraId="0CD73986" w14:textId="41860B4D" w:rsidR="008042FB" w:rsidRPr="000D53A5" w:rsidRDefault="008042FB" w:rsidP="000D53A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3A5">
              <w:t xml:space="preserve">Adherence to </w:t>
            </w:r>
            <w:r>
              <w:t>FDA, EMA, ICH-GCP, and HIPAA</w:t>
            </w:r>
          </w:p>
        </w:tc>
        <w:tc>
          <w:tcPr>
            <w:tcW w:w="0" w:type="auto"/>
            <w:hideMark/>
          </w:tcPr>
          <w:p w14:paraId="37C6943C" w14:textId="77777777" w:rsidR="008042FB" w:rsidRPr="000D53A5" w:rsidRDefault="008042FB" w:rsidP="000D53A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3A5">
              <w:t>AI-assisted checklist completion rate</w:t>
            </w:r>
          </w:p>
        </w:tc>
        <w:tc>
          <w:tcPr>
            <w:tcW w:w="0" w:type="auto"/>
            <w:hideMark/>
          </w:tcPr>
          <w:p w14:paraId="5831915F" w14:textId="565303DE" w:rsidR="008042FB" w:rsidRPr="000D53A5" w:rsidRDefault="008042FB" w:rsidP="000D53A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3A5">
              <w:t>100% compliance criteria met</w:t>
            </w:r>
          </w:p>
        </w:tc>
        <w:tc>
          <w:tcPr>
            <w:tcW w:w="0" w:type="auto"/>
            <w:hideMark/>
          </w:tcPr>
          <w:p w14:paraId="00A2BF9C" w14:textId="5FABF3BF" w:rsidR="008042FB" w:rsidRPr="000D53A5" w:rsidRDefault="008042FB" w:rsidP="000D53A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3A5">
              <w:t>Regulatory Affairs</w:t>
            </w:r>
            <w:r>
              <w:t>, Ethics board</w:t>
            </w:r>
          </w:p>
        </w:tc>
      </w:tr>
      <w:tr w:rsidR="004B0C7C" w:rsidRPr="000D53A5" w14:paraId="497C07A4" w14:textId="77777777" w:rsidTr="00804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65B058CD" w14:textId="77777777" w:rsidR="008042FB" w:rsidRDefault="008042FB" w:rsidP="000D53A5"/>
        </w:tc>
        <w:tc>
          <w:tcPr>
            <w:tcW w:w="2161" w:type="dxa"/>
          </w:tcPr>
          <w:p w14:paraId="0634699C" w14:textId="1C182782" w:rsidR="008042FB" w:rsidRPr="000D53A5" w:rsidRDefault="008042FB" w:rsidP="000D5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Risk-Benefit Balance</w:t>
            </w:r>
          </w:p>
        </w:tc>
        <w:tc>
          <w:tcPr>
            <w:tcW w:w="0" w:type="auto"/>
          </w:tcPr>
          <w:p w14:paraId="23C4357A" w14:textId="637A2B0C" w:rsidR="008042FB" w:rsidRPr="000D53A5" w:rsidRDefault="008042FB" w:rsidP="000D5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Clarity and neutrality in presenting risks vs. benefits</w:t>
            </w:r>
          </w:p>
        </w:tc>
        <w:tc>
          <w:tcPr>
            <w:tcW w:w="0" w:type="auto"/>
          </w:tcPr>
          <w:p w14:paraId="39445ED0" w14:textId="33AAC3A2" w:rsidR="008042FB" w:rsidRPr="000D53A5" w:rsidRDefault="008042FB" w:rsidP="000D5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Sentiment Analysis (neutral tone balance)</w:t>
            </w:r>
          </w:p>
        </w:tc>
        <w:tc>
          <w:tcPr>
            <w:tcW w:w="0" w:type="auto"/>
          </w:tcPr>
          <w:p w14:paraId="0EF63512" w14:textId="6425197D" w:rsidR="008042FB" w:rsidRPr="000D53A5" w:rsidRDefault="008042FB" w:rsidP="000D5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&lt;10% sentiment bias</w:t>
            </w:r>
          </w:p>
        </w:tc>
        <w:tc>
          <w:tcPr>
            <w:tcW w:w="0" w:type="auto"/>
          </w:tcPr>
          <w:p w14:paraId="165EAF69" w14:textId="13272151" w:rsidR="008042FB" w:rsidRPr="000D53A5" w:rsidRDefault="008042FB" w:rsidP="000D5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Ethics Committee, Legal review</w:t>
            </w:r>
          </w:p>
        </w:tc>
      </w:tr>
      <w:tr w:rsidR="004B0C7C" w:rsidRPr="000D53A5" w14:paraId="05B45545" w14:textId="77777777" w:rsidTr="00804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3A5ADE39" w14:textId="77777777" w:rsidR="008042FB" w:rsidRDefault="008042FB" w:rsidP="000D53A5"/>
        </w:tc>
        <w:tc>
          <w:tcPr>
            <w:tcW w:w="2161" w:type="dxa"/>
          </w:tcPr>
          <w:p w14:paraId="4D6316E2" w14:textId="507BD9AF" w:rsidR="008042FB" w:rsidRDefault="008042FB" w:rsidP="000D5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Alternative Treatments</w:t>
            </w:r>
          </w:p>
        </w:tc>
        <w:tc>
          <w:tcPr>
            <w:tcW w:w="0" w:type="auto"/>
          </w:tcPr>
          <w:p w14:paraId="6D71ABF9" w14:textId="7939A380" w:rsidR="008042FB" w:rsidRDefault="008042FB" w:rsidP="000D5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Clear disclosure of alternative treatment options</w:t>
            </w:r>
          </w:p>
        </w:tc>
        <w:tc>
          <w:tcPr>
            <w:tcW w:w="0" w:type="auto"/>
          </w:tcPr>
          <w:p w14:paraId="3CDF616C" w14:textId="1CAE10A9" w:rsidR="008042FB" w:rsidRDefault="008042FB" w:rsidP="000D5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AI-extracted mentions of alternatives</w:t>
            </w:r>
          </w:p>
        </w:tc>
        <w:tc>
          <w:tcPr>
            <w:tcW w:w="0" w:type="auto"/>
          </w:tcPr>
          <w:p w14:paraId="60A950B6" w14:textId="300C4A78" w:rsidR="008042FB" w:rsidRDefault="008042FB" w:rsidP="000D5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 least on alternative mentioned</w:t>
            </w:r>
          </w:p>
        </w:tc>
        <w:tc>
          <w:tcPr>
            <w:tcW w:w="0" w:type="auto"/>
          </w:tcPr>
          <w:p w14:paraId="5A8A4635" w14:textId="134A4646" w:rsidR="008042FB" w:rsidRDefault="008042FB" w:rsidP="000D5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Medical writing, ethics</w:t>
            </w:r>
          </w:p>
        </w:tc>
      </w:tr>
      <w:tr w:rsidR="004B0C7C" w:rsidRPr="000D53A5" w14:paraId="1631EA09" w14:textId="77777777" w:rsidTr="00804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04DC490F" w14:textId="77777777" w:rsidR="008042FB" w:rsidRPr="000D53A5" w:rsidRDefault="008042FB" w:rsidP="000D53A5"/>
        </w:tc>
        <w:tc>
          <w:tcPr>
            <w:tcW w:w="2161" w:type="dxa"/>
            <w:hideMark/>
          </w:tcPr>
          <w:p w14:paraId="783EB201" w14:textId="4659FA18" w:rsidR="008042FB" w:rsidRPr="000D53A5" w:rsidRDefault="008042FB" w:rsidP="000D53A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3A5">
              <w:t>Bias &amp; Fairness</w:t>
            </w:r>
          </w:p>
        </w:tc>
        <w:tc>
          <w:tcPr>
            <w:tcW w:w="0" w:type="auto"/>
            <w:hideMark/>
          </w:tcPr>
          <w:p w14:paraId="183FBDD6" w14:textId="0DF9B8D3" w:rsidR="008042FB" w:rsidRPr="000D53A5" w:rsidRDefault="008042FB" w:rsidP="000D53A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Avoids coercive language, ensures fair representation</w:t>
            </w:r>
          </w:p>
        </w:tc>
        <w:tc>
          <w:tcPr>
            <w:tcW w:w="0" w:type="auto"/>
            <w:hideMark/>
          </w:tcPr>
          <w:p w14:paraId="60627CC1" w14:textId="77777777" w:rsidR="008042FB" w:rsidRPr="000D53A5" w:rsidRDefault="008042FB" w:rsidP="000D53A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3A5">
              <w:t>Bias detection model score</w:t>
            </w:r>
          </w:p>
        </w:tc>
        <w:tc>
          <w:tcPr>
            <w:tcW w:w="0" w:type="auto"/>
            <w:hideMark/>
          </w:tcPr>
          <w:p w14:paraId="3D58D2ED" w14:textId="2220ECAC" w:rsidR="008042FB" w:rsidRPr="000D53A5" w:rsidRDefault="008042FB" w:rsidP="000D53A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3A5">
              <w:t>&lt;5% deviation from historical trial demographics</w:t>
            </w:r>
            <w:r>
              <w:t xml:space="preserve"> or diversity standards</w:t>
            </w:r>
          </w:p>
        </w:tc>
        <w:tc>
          <w:tcPr>
            <w:tcW w:w="0" w:type="auto"/>
            <w:hideMark/>
          </w:tcPr>
          <w:p w14:paraId="13A0ADA2" w14:textId="22CCB7E6" w:rsidR="008042FB" w:rsidRPr="000D53A5" w:rsidRDefault="008042FB" w:rsidP="000D53A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ethics</w:t>
            </w:r>
          </w:p>
        </w:tc>
      </w:tr>
      <w:tr w:rsidR="003F6FDA" w:rsidRPr="000D53A5" w14:paraId="610D5CFF" w14:textId="77777777" w:rsidTr="00804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3D061361" w14:textId="77777777" w:rsidR="003F6FDA" w:rsidRPr="000D53A5" w:rsidRDefault="003F6FDA" w:rsidP="000D53A5"/>
        </w:tc>
        <w:tc>
          <w:tcPr>
            <w:tcW w:w="2161" w:type="dxa"/>
          </w:tcPr>
          <w:p w14:paraId="2D22365F" w14:textId="21E2DFC0" w:rsidR="003F6FDA" w:rsidRPr="000D53A5" w:rsidRDefault="00271B5A" w:rsidP="000D5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Free from promotion</w:t>
            </w:r>
          </w:p>
        </w:tc>
        <w:tc>
          <w:tcPr>
            <w:tcW w:w="0" w:type="auto"/>
          </w:tcPr>
          <w:p w14:paraId="148CB4F4" w14:textId="77777777" w:rsidR="003F6FDA" w:rsidRDefault="003F6FDA" w:rsidP="000D5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506B154" w14:textId="77777777" w:rsidR="003F6FDA" w:rsidRPr="000D53A5" w:rsidRDefault="003F6FDA" w:rsidP="000D5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CCDE8AA" w14:textId="77777777" w:rsidR="003F6FDA" w:rsidRPr="000D53A5" w:rsidRDefault="003F6FDA" w:rsidP="000D5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263930F" w14:textId="77777777" w:rsidR="003F6FDA" w:rsidRDefault="003F6FDA" w:rsidP="000D5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0C7C" w:rsidRPr="000D53A5" w14:paraId="3A985A40" w14:textId="77777777" w:rsidTr="00804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06D04A96" w14:textId="77777777" w:rsidR="008042FB" w:rsidRPr="000D53A5" w:rsidRDefault="008042FB" w:rsidP="000D53A5"/>
        </w:tc>
        <w:tc>
          <w:tcPr>
            <w:tcW w:w="2161" w:type="dxa"/>
            <w:hideMark/>
          </w:tcPr>
          <w:p w14:paraId="13EC0801" w14:textId="7FCA168E" w:rsidR="008042FB" w:rsidRPr="000D53A5" w:rsidRDefault="008042FB" w:rsidP="000D53A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3A5">
              <w:t>Hallucination Rate</w:t>
            </w:r>
          </w:p>
        </w:tc>
        <w:tc>
          <w:tcPr>
            <w:tcW w:w="0" w:type="auto"/>
            <w:hideMark/>
          </w:tcPr>
          <w:p w14:paraId="60FBD2B2" w14:textId="77777777" w:rsidR="008042FB" w:rsidRPr="000D53A5" w:rsidRDefault="008042FB" w:rsidP="000D53A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3A5">
              <w:t>Instances where AI generates incorrect/unverifiable claims</w:t>
            </w:r>
          </w:p>
        </w:tc>
        <w:tc>
          <w:tcPr>
            <w:tcW w:w="0" w:type="auto"/>
            <w:hideMark/>
          </w:tcPr>
          <w:p w14:paraId="37CEE9AE" w14:textId="77777777" w:rsidR="008042FB" w:rsidRPr="000D53A5" w:rsidRDefault="008042FB" w:rsidP="000D53A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3A5">
              <w:t>% of fabricated content flagged by reviewers</w:t>
            </w:r>
          </w:p>
        </w:tc>
        <w:tc>
          <w:tcPr>
            <w:tcW w:w="0" w:type="auto"/>
            <w:hideMark/>
          </w:tcPr>
          <w:p w14:paraId="17E78B16" w14:textId="77777777" w:rsidR="008042FB" w:rsidRPr="000D53A5" w:rsidRDefault="008042FB" w:rsidP="000D53A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3A5">
              <w:t>&lt;2% hallucination rate</w:t>
            </w:r>
          </w:p>
        </w:tc>
        <w:tc>
          <w:tcPr>
            <w:tcW w:w="0" w:type="auto"/>
            <w:hideMark/>
          </w:tcPr>
          <w:p w14:paraId="28CF7A6C" w14:textId="77777777" w:rsidR="008042FB" w:rsidRPr="000D53A5" w:rsidRDefault="008042FB" w:rsidP="000D53A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53A5">
              <w:t>Medical Writing, Clinical SME</w:t>
            </w:r>
          </w:p>
        </w:tc>
      </w:tr>
      <w:tr w:rsidR="004B0C7C" w:rsidRPr="000D53A5" w14:paraId="181F17D7" w14:textId="77777777" w:rsidTr="00804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3639762C" w14:textId="77777777" w:rsidR="008042FB" w:rsidRDefault="008042FB" w:rsidP="000D53A5"/>
        </w:tc>
        <w:tc>
          <w:tcPr>
            <w:tcW w:w="2161" w:type="dxa"/>
          </w:tcPr>
          <w:p w14:paraId="01CB1B00" w14:textId="6D9CDF90" w:rsidR="008042FB" w:rsidRPr="000D53A5" w:rsidRDefault="008042FB" w:rsidP="000D53A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Informed Decision-Making</w:t>
            </w:r>
          </w:p>
        </w:tc>
        <w:tc>
          <w:tcPr>
            <w:tcW w:w="0" w:type="auto"/>
          </w:tcPr>
          <w:p w14:paraId="67D788FE" w14:textId="44EAD80C" w:rsidR="008042FB" w:rsidRPr="000D53A5" w:rsidRDefault="008042FB" w:rsidP="000D53A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Emphasizes voluntary participation and withdrawal rights</w:t>
            </w:r>
          </w:p>
        </w:tc>
        <w:tc>
          <w:tcPr>
            <w:tcW w:w="0" w:type="auto"/>
          </w:tcPr>
          <w:p w14:paraId="52AF68BE" w14:textId="0CC29651" w:rsidR="008042FB" w:rsidRPr="000D53A5" w:rsidRDefault="008042FB" w:rsidP="000D53A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AI-check for presence of “voluntary” and “withdraw”</w:t>
            </w:r>
          </w:p>
        </w:tc>
        <w:tc>
          <w:tcPr>
            <w:tcW w:w="0" w:type="auto"/>
          </w:tcPr>
          <w:p w14:paraId="2E522428" w14:textId="1F4DA74D" w:rsidR="008042FB" w:rsidRPr="000D53A5" w:rsidRDefault="008042FB" w:rsidP="000D53A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Both terms must be explicitly present</w:t>
            </w:r>
          </w:p>
        </w:tc>
        <w:tc>
          <w:tcPr>
            <w:tcW w:w="0" w:type="auto"/>
          </w:tcPr>
          <w:p w14:paraId="2041D1EC" w14:textId="3EB56476" w:rsidR="008042FB" w:rsidRPr="000D53A5" w:rsidRDefault="008042FB" w:rsidP="000D53A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IRB, legal, patient advocate</w:t>
            </w:r>
          </w:p>
        </w:tc>
      </w:tr>
      <w:tr w:rsidR="003F6FDA" w:rsidRPr="000D53A5" w14:paraId="5490A5B0" w14:textId="77777777" w:rsidTr="00804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5FCB62B1" w14:textId="26127723" w:rsidR="003F6FDA" w:rsidRDefault="004B0C7C" w:rsidP="000D53A5">
            <w:r>
              <w:t>Consistency</w:t>
            </w:r>
          </w:p>
        </w:tc>
        <w:tc>
          <w:tcPr>
            <w:tcW w:w="2161" w:type="dxa"/>
          </w:tcPr>
          <w:p w14:paraId="18961830" w14:textId="6A4EF98C" w:rsidR="003F6FDA" w:rsidRDefault="00F40AA4" w:rsidP="000D5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Contradiction Detection</w:t>
            </w:r>
          </w:p>
        </w:tc>
        <w:tc>
          <w:tcPr>
            <w:tcW w:w="0" w:type="auto"/>
          </w:tcPr>
          <w:p w14:paraId="512AB4E4" w14:textId="77777777" w:rsidR="003F6FDA" w:rsidRDefault="003F6FDA" w:rsidP="000D5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E6A654B" w14:textId="77777777" w:rsidR="003F6FDA" w:rsidRDefault="003F6FDA" w:rsidP="000D5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2BCDF9E" w14:textId="77777777" w:rsidR="003F6FDA" w:rsidRDefault="003F6FDA" w:rsidP="000D5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2DB5D22" w14:textId="77777777" w:rsidR="003F6FDA" w:rsidRDefault="003F6FDA" w:rsidP="000D5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2D75" w:rsidRPr="000D53A5" w14:paraId="0182FA7F" w14:textId="77777777" w:rsidTr="00804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116E3DCE" w14:textId="77777777" w:rsidR="00132D75" w:rsidRDefault="00132D75" w:rsidP="000D53A5"/>
        </w:tc>
        <w:tc>
          <w:tcPr>
            <w:tcW w:w="2161" w:type="dxa"/>
          </w:tcPr>
          <w:p w14:paraId="4D45CE31" w14:textId="6D3E9A69" w:rsidR="00132D75" w:rsidRDefault="00F40AA4" w:rsidP="000D5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Factual consistency</w:t>
            </w:r>
          </w:p>
        </w:tc>
        <w:tc>
          <w:tcPr>
            <w:tcW w:w="0" w:type="auto"/>
          </w:tcPr>
          <w:p w14:paraId="0A041D26" w14:textId="77777777" w:rsidR="00132D75" w:rsidRDefault="00132D75" w:rsidP="000D5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ADEEB22" w14:textId="77777777" w:rsidR="00132D75" w:rsidRDefault="00132D75" w:rsidP="000D5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4EF5743" w14:textId="77777777" w:rsidR="00132D75" w:rsidRDefault="00132D75" w:rsidP="000D5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CF36BFF" w14:textId="77777777" w:rsidR="00132D75" w:rsidRDefault="00132D75" w:rsidP="000D5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E2430E" w14:textId="77777777" w:rsidR="000D53A5" w:rsidRPr="000D53A5" w:rsidRDefault="00000000" w:rsidP="000D53A5">
      <w:r>
        <w:pict w14:anchorId="247EA36E">
          <v:rect id="_x0000_i1027" style="width:0;height:1.5pt" o:hralign="center" o:hrstd="t" o:hr="t" fillcolor="#a0a0a0" stroked="f"/>
        </w:pict>
      </w:r>
    </w:p>
    <w:p w14:paraId="323379E1" w14:textId="77777777" w:rsidR="000D53A5" w:rsidRPr="000D53A5" w:rsidRDefault="000D53A5" w:rsidP="000D53A5">
      <w:pPr>
        <w:rPr>
          <w:b/>
          <w:bCs/>
        </w:rPr>
      </w:pPr>
      <w:r w:rsidRPr="000D53A5">
        <w:rPr>
          <w:b/>
          <w:bCs/>
        </w:rPr>
        <w:t>4. Evaluation Workflow</w:t>
      </w:r>
    </w:p>
    <w:p w14:paraId="42D2EF14" w14:textId="551996D4" w:rsidR="00C41D7D" w:rsidRPr="005E0D91" w:rsidRDefault="005E0D91" w:rsidP="000D53A5">
      <w:r>
        <w:t xml:space="preserve">The evaluation workflow outlines the necessary steps to evaluate ICDs that are either partially or fully generated by AI.  </w:t>
      </w:r>
    </w:p>
    <w:p w14:paraId="7BD78813" w14:textId="0112A1B9" w:rsidR="000D53A5" w:rsidRPr="000D53A5" w:rsidRDefault="000D53A5" w:rsidP="000D53A5">
      <w:pPr>
        <w:rPr>
          <w:b/>
          <w:bCs/>
        </w:rPr>
      </w:pPr>
      <w:r w:rsidRPr="000D53A5">
        <w:rPr>
          <w:b/>
          <w:bCs/>
        </w:rPr>
        <w:lastRenderedPageBreak/>
        <w:t xml:space="preserve">Step 1: </w:t>
      </w:r>
      <w:r w:rsidR="00901C4F">
        <w:rPr>
          <w:b/>
          <w:bCs/>
        </w:rPr>
        <w:t xml:space="preserve">State </w:t>
      </w:r>
      <w:r w:rsidRPr="000D53A5">
        <w:rPr>
          <w:b/>
          <w:bCs/>
        </w:rPr>
        <w:t>AI Model Selection &amp; Versioning</w:t>
      </w:r>
    </w:p>
    <w:p w14:paraId="4AF14CA5" w14:textId="18D757A0" w:rsidR="009C78B6" w:rsidRDefault="009C78B6" w:rsidP="000D53A5">
      <w:pPr>
        <w:ind w:left="720"/>
      </w:pPr>
      <w:r>
        <w:t>Complete the Trial-level AI-Generated Informed Consent Document Evaluation Summary Report</w:t>
      </w:r>
      <w:r w:rsidR="00773B76">
        <w:t xml:space="preserve"> </w:t>
      </w:r>
      <w:r w:rsidR="00E41E4F">
        <w:t>(T</w:t>
      </w:r>
      <w:r w:rsidR="00584FBB">
        <w:t xml:space="preserve">-AICD) </w:t>
      </w:r>
      <w:r w:rsidR="00773B76">
        <w:t xml:space="preserve">Sections: Study &amp; AI Parameters and Section 1a.  </w:t>
      </w:r>
    </w:p>
    <w:p w14:paraId="1A54C10B" w14:textId="2834FD8C" w:rsidR="000D53A5" w:rsidRPr="000D53A5" w:rsidRDefault="000D53A5" w:rsidP="000D53A5">
      <w:pPr>
        <w:rPr>
          <w:b/>
          <w:bCs/>
        </w:rPr>
      </w:pPr>
      <w:r w:rsidRPr="000D53A5">
        <w:rPr>
          <w:b/>
          <w:bCs/>
        </w:rPr>
        <w:t xml:space="preserve">Step 2: </w:t>
      </w:r>
      <w:r w:rsidR="00103A19">
        <w:rPr>
          <w:b/>
          <w:bCs/>
        </w:rPr>
        <w:t xml:space="preserve">Determine Appropriate </w:t>
      </w:r>
      <w:r w:rsidRPr="000D53A5">
        <w:rPr>
          <w:b/>
          <w:bCs/>
        </w:rPr>
        <w:t>Evaluation Checks</w:t>
      </w:r>
      <w:r w:rsidR="005F3EB6">
        <w:rPr>
          <w:b/>
          <w:bCs/>
        </w:rPr>
        <w:t xml:space="preserve"> &amp; Execution</w:t>
      </w:r>
    </w:p>
    <w:p w14:paraId="564F00CA" w14:textId="77777777" w:rsidR="005F3EB6" w:rsidRDefault="005F3EB6" w:rsidP="005F3EB6">
      <w:pPr>
        <w:ind w:left="720"/>
      </w:pPr>
      <w:r>
        <w:t>Study teams should determine which measures in Table 1.0 are appropriate for use in the evaluation and document them in the T-AICD.</w:t>
      </w:r>
    </w:p>
    <w:p w14:paraId="2FDE2EA9" w14:textId="77777777" w:rsidR="005F3EB6" w:rsidRDefault="005F3EB6" w:rsidP="005F3EB6">
      <w:pPr>
        <w:ind w:left="720"/>
      </w:pPr>
      <w:r>
        <w:t xml:space="preserve">Study teams should identify and document approved thresholds for each metric prior to evaluation execution.   </w:t>
      </w:r>
    </w:p>
    <w:p w14:paraId="6E436802" w14:textId="3842BF32" w:rsidR="00962D48" w:rsidRDefault="00C12473" w:rsidP="001479A8">
      <w:pPr>
        <w:ind w:left="720"/>
        <w:rPr>
          <w:b/>
          <w:bCs/>
        </w:rPr>
      </w:pPr>
      <w:r>
        <w:t xml:space="preserve">Following the pre-specification of evaluation metrics and thresholds, </w:t>
      </w:r>
      <w:r w:rsidR="00F81B6D">
        <w:t xml:space="preserve">the initial execution of evaluation criteria and </w:t>
      </w:r>
      <w:r w:rsidR="00A45A9E">
        <w:t xml:space="preserve">associated </w:t>
      </w:r>
      <w:r w:rsidR="00F81B6D">
        <w:t>result</w:t>
      </w:r>
      <w:r w:rsidR="00B77F51">
        <w:t>s should be documented in the T-AICD.</w:t>
      </w:r>
    </w:p>
    <w:p w14:paraId="712BEBD2" w14:textId="4E51D383" w:rsidR="000D53A5" w:rsidRPr="000D53A5" w:rsidRDefault="000D53A5" w:rsidP="000D53A5">
      <w:pPr>
        <w:rPr>
          <w:b/>
          <w:bCs/>
        </w:rPr>
      </w:pPr>
      <w:r w:rsidRPr="000D53A5">
        <w:rPr>
          <w:b/>
          <w:bCs/>
        </w:rPr>
        <w:t xml:space="preserve">Step 3: </w:t>
      </w:r>
      <w:r w:rsidR="007A395A">
        <w:rPr>
          <w:b/>
          <w:bCs/>
        </w:rPr>
        <w:t xml:space="preserve">Apply </w:t>
      </w:r>
      <w:r w:rsidRPr="000D53A5">
        <w:rPr>
          <w:b/>
          <w:bCs/>
        </w:rPr>
        <w:t>Human Expert Review &amp; Scoring</w:t>
      </w:r>
    </w:p>
    <w:p w14:paraId="00AB798C" w14:textId="3D76A07C" w:rsidR="00CE09EC" w:rsidRDefault="0055068C" w:rsidP="0055068C">
      <w:pPr>
        <w:ind w:left="720"/>
        <w:rPr>
          <w:b/>
          <w:bCs/>
        </w:rPr>
      </w:pPr>
      <w:r w:rsidRPr="000D53A5">
        <w:t xml:space="preserve">Each </w:t>
      </w:r>
      <w:r w:rsidR="002A6B61">
        <w:t xml:space="preserve">evaluation metric result should </w:t>
      </w:r>
      <w:r w:rsidR="00501C08">
        <w:t xml:space="preserve">be </w:t>
      </w:r>
      <w:r w:rsidR="00501C08" w:rsidRPr="000D53A5">
        <w:t>assigned</w:t>
      </w:r>
      <w:r w:rsidRPr="000D53A5">
        <w:t xml:space="preserve"> </w:t>
      </w:r>
      <w:r w:rsidRPr="00501C08">
        <w:t>to domain experts (clinical, regulatory, ethics review)</w:t>
      </w:r>
      <w:r w:rsidR="00CE09EC" w:rsidRPr="00501C08">
        <w:t xml:space="preserve"> for review of quantitative assessments of model performance.</w:t>
      </w:r>
      <w:r w:rsidR="00CE09EC">
        <w:rPr>
          <w:b/>
          <w:bCs/>
        </w:rPr>
        <w:t xml:space="preserve"> </w:t>
      </w:r>
    </w:p>
    <w:p w14:paraId="0E419CC6" w14:textId="52B96CD0" w:rsidR="0055068C" w:rsidRDefault="0055068C" w:rsidP="00D208E1">
      <w:pPr>
        <w:ind w:left="720"/>
      </w:pPr>
      <w:r w:rsidRPr="000D53A5">
        <w:t xml:space="preserve">Reviewers </w:t>
      </w:r>
      <w:r w:rsidR="00501C08">
        <w:t>acknowledge and approve of the evaluation metrics acceptability</w:t>
      </w:r>
      <w:r w:rsidR="00361473">
        <w:t xml:space="preserve"> following a comparison between </w:t>
      </w:r>
      <w:r w:rsidRPr="000D53A5">
        <w:t xml:space="preserve">AI-generated protocol sections </w:t>
      </w:r>
      <w:r w:rsidR="00361473">
        <w:t>and</w:t>
      </w:r>
      <w:r w:rsidRPr="000D53A5">
        <w:t xml:space="preserve"> </w:t>
      </w:r>
      <w:r w:rsidRPr="00361473">
        <w:t>acceptance thresholds</w:t>
      </w:r>
      <w:r w:rsidR="00361473">
        <w:t>.</w:t>
      </w:r>
    </w:p>
    <w:p w14:paraId="0A294EA0" w14:textId="1952883F" w:rsidR="005F3EB6" w:rsidRPr="00D4634E" w:rsidRDefault="001479A8" w:rsidP="005F3EB6">
      <w:pPr>
        <w:spacing w:line="240" w:lineRule="auto"/>
        <w:ind w:left="720"/>
        <w:contextualSpacing/>
      </w:pPr>
      <w:r>
        <w:t xml:space="preserve">In coordination with the appropriate cross functional teams responsible for AI performance, </w:t>
      </w:r>
      <w:r w:rsidR="00151984">
        <w:t xml:space="preserve">where threshold criteria </w:t>
      </w:r>
      <w:r w:rsidR="0015628E">
        <w:t>were</w:t>
      </w:r>
      <w:r w:rsidR="00151984">
        <w:t xml:space="preserve"> exceeded, </w:t>
      </w:r>
      <w:r w:rsidR="0015628E">
        <w:t xml:space="preserve">the </w:t>
      </w:r>
      <w:r w:rsidR="005F3EB6">
        <w:t xml:space="preserve">AI </w:t>
      </w:r>
      <w:r w:rsidR="00151984">
        <w:t xml:space="preserve">model and/or pipeline should be modified until the required quality metrics are </w:t>
      </w:r>
      <w:r w:rsidR="00451AB2">
        <w:t>within acceptable thresholds.</w:t>
      </w:r>
    </w:p>
    <w:p w14:paraId="6DA8AF6B" w14:textId="77777777" w:rsidR="00D208E1" w:rsidRDefault="00D208E1" w:rsidP="000D53A5">
      <w:pPr>
        <w:rPr>
          <w:b/>
          <w:bCs/>
        </w:rPr>
      </w:pPr>
    </w:p>
    <w:p w14:paraId="2CEA3E5F" w14:textId="2E90375D" w:rsidR="000D53A5" w:rsidRPr="000D53A5" w:rsidRDefault="000D53A5" w:rsidP="000D53A5">
      <w:pPr>
        <w:rPr>
          <w:b/>
          <w:bCs/>
        </w:rPr>
      </w:pPr>
      <w:r w:rsidRPr="000D53A5">
        <w:rPr>
          <w:b/>
          <w:bCs/>
        </w:rPr>
        <w:t>Step 4: Revision &amp; Iteration</w:t>
      </w:r>
    </w:p>
    <w:p w14:paraId="1A1EC432" w14:textId="77777777" w:rsidR="00007B3D" w:rsidRPr="00007B3D" w:rsidRDefault="00D208E1" w:rsidP="000D53A5">
      <w:pPr>
        <w:ind w:left="720"/>
      </w:pPr>
      <w:r w:rsidRPr="00007B3D">
        <w:t>As needed</w:t>
      </w:r>
      <w:r w:rsidR="00D10B28" w:rsidRPr="00007B3D">
        <w:t>,</w:t>
      </w:r>
      <w:r w:rsidRPr="00007B3D">
        <w:t xml:space="preserve"> c</w:t>
      </w:r>
      <w:r w:rsidR="00C83E2E" w:rsidRPr="00007B3D">
        <w:t xml:space="preserve">onduct </w:t>
      </w:r>
      <w:r w:rsidR="000D53A5" w:rsidRPr="00007B3D">
        <w:t xml:space="preserve">AI </w:t>
      </w:r>
      <w:r w:rsidRPr="00007B3D">
        <w:t>model</w:t>
      </w:r>
      <w:r w:rsidR="00D10B28" w:rsidRPr="00007B3D">
        <w:t xml:space="preserve"> and</w:t>
      </w:r>
      <w:r w:rsidRPr="00007B3D">
        <w:t>/or pipeline</w:t>
      </w:r>
      <w:r w:rsidR="004F185E" w:rsidRPr="00007B3D">
        <w:t xml:space="preserve"> </w:t>
      </w:r>
      <w:r w:rsidR="000D53A5" w:rsidRPr="00007B3D">
        <w:t>refinement</w:t>
      </w:r>
      <w:r w:rsidR="00C96E70" w:rsidRPr="00007B3D">
        <w:t>s</w:t>
      </w:r>
      <w:r w:rsidR="00D10B28" w:rsidRPr="00007B3D">
        <w:t>,</w:t>
      </w:r>
      <w:r w:rsidR="000D53A5" w:rsidRPr="00007B3D">
        <w:t xml:space="preserve"> based on human feedback</w:t>
      </w:r>
      <w:r w:rsidR="00490C2B" w:rsidRPr="00007B3D">
        <w:t>.</w:t>
      </w:r>
      <w:r w:rsidR="000D53A5" w:rsidRPr="00007B3D">
        <w:br/>
      </w:r>
    </w:p>
    <w:p w14:paraId="31679921" w14:textId="2DB8804D" w:rsidR="000D53A5" w:rsidRPr="00007B3D" w:rsidRDefault="000D53A5" w:rsidP="000D53A5">
      <w:pPr>
        <w:ind w:left="720"/>
      </w:pPr>
      <w:r w:rsidRPr="00007B3D">
        <w:lastRenderedPageBreak/>
        <w:t>Compare before/after revisions using quantitative quality metrics</w:t>
      </w:r>
      <w:r w:rsidR="00490C2B" w:rsidRPr="00007B3D">
        <w:t xml:space="preserve"> and iterate until all metrics fall within acceptable thresholds for quality. </w:t>
      </w:r>
    </w:p>
    <w:p w14:paraId="6E6A5FED" w14:textId="77777777" w:rsidR="000D53A5" w:rsidRPr="000D53A5" w:rsidRDefault="000D53A5" w:rsidP="000D53A5">
      <w:pPr>
        <w:rPr>
          <w:b/>
          <w:bCs/>
        </w:rPr>
      </w:pPr>
      <w:r w:rsidRPr="000D53A5">
        <w:rPr>
          <w:b/>
          <w:bCs/>
        </w:rPr>
        <w:t>Step 5: Final Validation &amp; Sign-Off</w:t>
      </w:r>
    </w:p>
    <w:p w14:paraId="3742755A" w14:textId="743255B1" w:rsidR="0084408D" w:rsidRDefault="000D53A5" w:rsidP="000D53A5">
      <w:pPr>
        <w:ind w:left="720"/>
      </w:pPr>
      <w:r w:rsidRPr="0084408D">
        <w:t>Approval from key stakeholders (Clinical, Regulatory, Biostats, Medical Writing)</w:t>
      </w:r>
      <w:r w:rsidR="005F5DFC" w:rsidRPr="0084408D">
        <w:t xml:space="preserve"> should be documented in the T-AICD.</w:t>
      </w:r>
    </w:p>
    <w:p w14:paraId="01EEF83E" w14:textId="66D29246" w:rsidR="000D53A5" w:rsidRPr="00716000" w:rsidRDefault="0084408D" w:rsidP="000D53A5">
      <w:pPr>
        <w:ind w:left="720"/>
      </w:pPr>
      <w:r w:rsidRPr="00716000">
        <w:t>Store v</w:t>
      </w:r>
      <w:r w:rsidR="000D53A5" w:rsidRPr="00716000">
        <w:t xml:space="preserve">ersion-controlled </w:t>
      </w:r>
      <w:r w:rsidR="00962D48" w:rsidRPr="00716000">
        <w:t xml:space="preserve">informed consent </w:t>
      </w:r>
      <w:r w:rsidR="000D53A5" w:rsidRPr="00716000">
        <w:t>storage with an AI evaluation audit trail</w:t>
      </w:r>
    </w:p>
    <w:p w14:paraId="2D2C336E" w14:textId="77777777" w:rsidR="00716000" w:rsidRPr="00716000" w:rsidRDefault="00716000" w:rsidP="00716000">
      <w:pPr>
        <w:ind w:left="720"/>
      </w:pPr>
      <w:r w:rsidRPr="00716000">
        <w:t>AI Model Governance: Ensure explainability &amp; compliance with company AI policies</w:t>
      </w:r>
    </w:p>
    <w:p w14:paraId="13BDD6A9" w14:textId="77777777" w:rsidR="00716000" w:rsidRPr="00716000" w:rsidRDefault="00716000" w:rsidP="00716000">
      <w:pPr>
        <w:ind w:left="720"/>
      </w:pPr>
      <w:r w:rsidRPr="00716000">
        <w:t>Regulatory &amp; Sponsor Transparency: Provide AI-assisted sections with documented human review confirmations</w:t>
      </w:r>
    </w:p>
    <w:p w14:paraId="1B2023EF" w14:textId="6D1724D6" w:rsidR="000D53A5" w:rsidRPr="000D53A5" w:rsidRDefault="000D53A5" w:rsidP="000D53A5"/>
    <w:p w14:paraId="3B0F4A83" w14:textId="77777777" w:rsidR="000D53A5" w:rsidRPr="000D53A5" w:rsidRDefault="000D53A5" w:rsidP="000D53A5">
      <w:pPr>
        <w:rPr>
          <w:b/>
          <w:bCs/>
        </w:rPr>
      </w:pPr>
      <w:r w:rsidRPr="000D53A5">
        <w:rPr>
          <w:b/>
          <w:bCs/>
        </w:rPr>
        <w:t>6. Conclusion</w:t>
      </w:r>
    </w:p>
    <w:p w14:paraId="54AA5064" w14:textId="77777777" w:rsidR="000D53A5" w:rsidRDefault="000D53A5" w:rsidP="000D53A5">
      <w:r w:rsidRPr="000D53A5">
        <w:t xml:space="preserve">This evaluation plan ensures </w:t>
      </w:r>
      <w:r w:rsidRPr="000D53A5">
        <w:rPr>
          <w:b/>
          <w:bCs/>
        </w:rPr>
        <w:t>scientific rigor, regulatory adherence, and clinical quality</w:t>
      </w:r>
      <w:r w:rsidRPr="000D53A5">
        <w:t xml:space="preserve"> when using Generative AI in protocol development. The combination of </w:t>
      </w:r>
      <w:r w:rsidRPr="000D53A5">
        <w:rPr>
          <w:b/>
          <w:bCs/>
        </w:rPr>
        <w:t>quantitative AI assessment + human expert review</w:t>
      </w:r>
      <w:r w:rsidRPr="000D53A5">
        <w:t xml:space="preserve"> balances innovation with compliance.</w:t>
      </w:r>
    </w:p>
    <w:p w14:paraId="4586E72D" w14:textId="6D6982CD" w:rsidR="00FF08E1" w:rsidRDefault="00FF08E1"/>
    <w:p w14:paraId="1BD27857" w14:textId="6A0673B4" w:rsidR="00744AF7" w:rsidRDefault="00744AF7"/>
    <w:p w14:paraId="3FA4E1C2" w14:textId="77777777" w:rsidR="00BC471E" w:rsidRDefault="00BC471E"/>
    <w:p w14:paraId="435500F4" w14:textId="61B74010" w:rsidR="00BC471E" w:rsidRDefault="00BC471E"/>
    <w:sectPr w:rsidR="00BC471E" w:rsidSect="00BD15F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320996" w14:textId="77777777" w:rsidR="00F35104" w:rsidRDefault="00F35104" w:rsidP="00F26652">
      <w:pPr>
        <w:spacing w:after="0" w:line="240" w:lineRule="auto"/>
      </w:pPr>
      <w:r>
        <w:separator/>
      </w:r>
    </w:p>
  </w:endnote>
  <w:endnote w:type="continuationSeparator" w:id="0">
    <w:p w14:paraId="1C1E5A80" w14:textId="77777777" w:rsidR="00F35104" w:rsidRDefault="00F35104" w:rsidP="00F26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06A87" w14:textId="77777777" w:rsidR="00F26652" w:rsidRDefault="00F266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343041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F23134" w14:textId="76EC1D94" w:rsidR="00694DD4" w:rsidRDefault="00694D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46DBDF" w14:textId="34EBB7AD" w:rsidR="00F26652" w:rsidRDefault="00F266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E1F94" w14:textId="77777777" w:rsidR="00F26652" w:rsidRDefault="00F266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3CBF62" w14:textId="77777777" w:rsidR="00F35104" w:rsidRDefault="00F35104" w:rsidP="00F26652">
      <w:pPr>
        <w:spacing w:after="0" w:line="240" w:lineRule="auto"/>
      </w:pPr>
      <w:r>
        <w:separator/>
      </w:r>
    </w:p>
  </w:footnote>
  <w:footnote w:type="continuationSeparator" w:id="0">
    <w:p w14:paraId="30230EF1" w14:textId="77777777" w:rsidR="00F35104" w:rsidRDefault="00F35104" w:rsidP="00F26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F7F4B1" w14:textId="77777777" w:rsidR="00F26652" w:rsidRDefault="00F266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B232D" w14:textId="77777777" w:rsidR="00F26652" w:rsidRDefault="00F266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A797E9" w14:textId="77777777" w:rsidR="00F26652" w:rsidRDefault="00F266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16D47"/>
    <w:multiLevelType w:val="multilevel"/>
    <w:tmpl w:val="1B7E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0091C"/>
    <w:multiLevelType w:val="multilevel"/>
    <w:tmpl w:val="3DAE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F4D25"/>
    <w:multiLevelType w:val="multilevel"/>
    <w:tmpl w:val="B8EA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441BD"/>
    <w:multiLevelType w:val="multilevel"/>
    <w:tmpl w:val="7B54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414AC9"/>
    <w:multiLevelType w:val="multilevel"/>
    <w:tmpl w:val="7CEA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2B0EE1"/>
    <w:multiLevelType w:val="multilevel"/>
    <w:tmpl w:val="F192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244680">
    <w:abstractNumId w:val="4"/>
  </w:num>
  <w:num w:numId="2" w16cid:durableId="1702046058">
    <w:abstractNumId w:val="3"/>
  </w:num>
  <w:num w:numId="3" w16cid:durableId="1546789159">
    <w:abstractNumId w:val="1"/>
  </w:num>
  <w:num w:numId="4" w16cid:durableId="1097945600">
    <w:abstractNumId w:val="2"/>
  </w:num>
  <w:num w:numId="5" w16cid:durableId="1075660650">
    <w:abstractNumId w:val="0"/>
  </w:num>
  <w:num w:numId="6" w16cid:durableId="18915697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3A5"/>
    <w:rsid w:val="00006BBA"/>
    <w:rsid w:val="00007B3D"/>
    <w:rsid w:val="00017964"/>
    <w:rsid w:val="000A2485"/>
    <w:rsid w:val="000C29F4"/>
    <w:rsid w:val="000D53A5"/>
    <w:rsid w:val="00103A19"/>
    <w:rsid w:val="00132D75"/>
    <w:rsid w:val="00147210"/>
    <w:rsid w:val="001473DF"/>
    <w:rsid w:val="001479A8"/>
    <w:rsid w:val="00151984"/>
    <w:rsid w:val="00151FB8"/>
    <w:rsid w:val="0015628E"/>
    <w:rsid w:val="00165405"/>
    <w:rsid w:val="00176D55"/>
    <w:rsid w:val="001841AD"/>
    <w:rsid w:val="00186390"/>
    <w:rsid w:val="00190E98"/>
    <w:rsid w:val="00191394"/>
    <w:rsid w:val="001A7AE6"/>
    <w:rsid w:val="001D422B"/>
    <w:rsid w:val="001E3F92"/>
    <w:rsid w:val="00235348"/>
    <w:rsid w:val="00271B5A"/>
    <w:rsid w:val="00271B6D"/>
    <w:rsid w:val="002A1442"/>
    <w:rsid w:val="002A6B61"/>
    <w:rsid w:val="00327E23"/>
    <w:rsid w:val="0033781B"/>
    <w:rsid w:val="00361473"/>
    <w:rsid w:val="00373945"/>
    <w:rsid w:val="00376C06"/>
    <w:rsid w:val="003879F3"/>
    <w:rsid w:val="003E4557"/>
    <w:rsid w:val="003F6FDA"/>
    <w:rsid w:val="00407A7C"/>
    <w:rsid w:val="00422B8F"/>
    <w:rsid w:val="00440BC6"/>
    <w:rsid w:val="00450611"/>
    <w:rsid w:val="00451AB2"/>
    <w:rsid w:val="00467350"/>
    <w:rsid w:val="00490C2B"/>
    <w:rsid w:val="004A075C"/>
    <w:rsid w:val="004B0C7C"/>
    <w:rsid w:val="004F185E"/>
    <w:rsid w:val="00500EBD"/>
    <w:rsid w:val="00501C08"/>
    <w:rsid w:val="00504A07"/>
    <w:rsid w:val="00513405"/>
    <w:rsid w:val="00522688"/>
    <w:rsid w:val="00544A5D"/>
    <w:rsid w:val="0055068C"/>
    <w:rsid w:val="00557F94"/>
    <w:rsid w:val="00584FBB"/>
    <w:rsid w:val="005B2E01"/>
    <w:rsid w:val="005C1819"/>
    <w:rsid w:val="005D3F6C"/>
    <w:rsid w:val="005E0D91"/>
    <w:rsid w:val="005F1CD8"/>
    <w:rsid w:val="005F3EB6"/>
    <w:rsid w:val="005F5DFC"/>
    <w:rsid w:val="005F79AA"/>
    <w:rsid w:val="00601DC9"/>
    <w:rsid w:val="006226F3"/>
    <w:rsid w:val="00635D71"/>
    <w:rsid w:val="00675572"/>
    <w:rsid w:val="00694DD4"/>
    <w:rsid w:val="006D5B3D"/>
    <w:rsid w:val="006D695A"/>
    <w:rsid w:val="00716000"/>
    <w:rsid w:val="007361CB"/>
    <w:rsid w:val="00744AF7"/>
    <w:rsid w:val="00754B84"/>
    <w:rsid w:val="00773B76"/>
    <w:rsid w:val="007A395A"/>
    <w:rsid w:val="007D7F16"/>
    <w:rsid w:val="008021B4"/>
    <w:rsid w:val="008042FB"/>
    <w:rsid w:val="0084408D"/>
    <w:rsid w:val="00847D51"/>
    <w:rsid w:val="00901C4F"/>
    <w:rsid w:val="00951E19"/>
    <w:rsid w:val="00961CFE"/>
    <w:rsid w:val="00962D48"/>
    <w:rsid w:val="00966D5B"/>
    <w:rsid w:val="00987C00"/>
    <w:rsid w:val="009C0BEC"/>
    <w:rsid w:val="009C78B6"/>
    <w:rsid w:val="009D5E30"/>
    <w:rsid w:val="009E55B4"/>
    <w:rsid w:val="009F31CB"/>
    <w:rsid w:val="00A02F4B"/>
    <w:rsid w:val="00A45A9E"/>
    <w:rsid w:val="00A51DC3"/>
    <w:rsid w:val="00A534D8"/>
    <w:rsid w:val="00A82CAF"/>
    <w:rsid w:val="00AB1FC5"/>
    <w:rsid w:val="00AD2027"/>
    <w:rsid w:val="00AE4742"/>
    <w:rsid w:val="00B35D64"/>
    <w:rsid w:val="00B36769"/>
    <w:rsid w:val="00B57217"/>
    <w:rsid w:val="00B61425"/>
    <w:rsid w:val="00B77F51"/>
    <w:rsid w:val="00BA4F2E"/>
    <w:rsid w:val="00BC471E"/>
    <w:rsid w:val="00BC4CBC"/>
    <w:rsid w:val="00BD15FA"/>
    <w:rsid w:val="00BD72C3"/>
    <w:rsid w:val="00BF0CE7"/>
    <w:rsid w:val="00C0463D"/>
    <w:rsid w:val="00C07ECA"/>
    <w:rsid w:val="00C12473"/>
    <w:rsid w:val="00C41D7D"/>
    <w:rsid w:val="00C56DF3"/>
    <w:rsid w:val="00C83E2E"/>
    <w:rsid w:val="00C96E70"/>
    <w:rsid w:val="00CB62B1"/>
    <w:rsid w:val="00CD346E"/>
    <w:rsid w:val="00CE09EC"/>
    <w:rsid w:val="00CF2716"/>
    <w:rsid w:val="00CF2B29"/>
    <w:rsid w:val="00D10B28"/>
    <w:rsid w:val="00D208E1"/>
    <w:rsid w:val="00D4634E"/>
    <w:rsid w:val="00D46CD8"/>
    <w:rsid w:val="00D667C8"/>
    <w:rsid w:val="00D776E0"/>
    <w:rsid w:val="00E305D7"/>
    <w:rsid w:val="00E41E4F"/>
    <w:rsid w:val="00E465B0"/>
    <w:rsid w:val="00E920A9"/>
    <w:rsid w:val="00E9281C"/>
    <w:rsid w:val="00EA2709"/>
    <w:rsid w:val="00EF69D2"/>
    <w:rsid w:val="00F07538"/>
    <w:rsid w:val="00F226DE"/>
    <w:rsid w:val="00F26652"/>
    <w:rsid w:val="00F31C9B"/>
    <w:rsid w:val="00F35104"/>
    <w:rsid w:val="00F40AA4"/>
    <w:rsid w:val="00F54AA4"/>
    <w:rsid w:val="00F81B6D"/>
    <w:rsid w:val="00FC3E4B"/>
    <w:rsid w:val="00FC676F"/>
    <w:rsid w:val="00FF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840A5"/>
  <w15:chartTrackingRefBased/>
  <w15:docId w15:val="{6B09A095-FB0C-4738-9DE6-401BAC58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3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3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3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53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3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3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3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3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3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3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3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3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3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3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3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3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3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3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3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3A5"/>
    <w:rPr>
      <w:b/>
      <w:bCs/>
      <w:smallCaps/>
      <w:color w:val="0F4761" w:themeColor="accent1" w:themeShade="BF"/>
      <w:spacing w:val="5"/>
    </w:rPr>
  </w:style>
  <w:style w:type="table" w:styleId="PlainTable4">
    <w:name w:val="Plain Table 4"/>
    <w:basedOn w:val="TableNormal"/>
    <w:uiPriority w:val="44"/>
    <w:rsid w:val="000D53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467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C4CB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26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652"/>
  </w:style>
  <w:style w:type="paragraph" w:styleId="Footer">
    <w:name w:val="footer"/>
    <w:basedOn w:val="Normal"/>
    <w:link w:val="FooterChar"/>
    <w:uiPriority w:val="99"/>
    <w:unhideWhenUsed/>
    <w:rsid w:val="00F26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4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912</Words>
  <Characters>5200</Characters>
  <Application>Microsoft Office Word</Application>
  <DocSecurity>0</DocSecurity>
  <Lines>43</Lines>
  <Paragraphs>12</Paragraphs>
  <ScaleCrop>false</ScaleCrop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Taha</dc:creator>
  <cp:keywords/>
  <dc:description/>
  <cp:lastModifiedBy>Rebecca Taha</cp:lastModifiedBy>
  <cp:revision>73</cp:revision>
  <dcterms:created xsi:type="dcterms:W3CDTF">2025-03-07T18:53:00Z</dcterms:created>
  <dcterms:modified xsi:type="dcterms:W3CDTF">2025-03-08T05:44:00Z</dcterms:modified>
</cp:coreProperties>
</file>