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0843D" w:sz="12" w:space="1"/>
        </w:pBdr>
        <w:shd w:fill="000814" w:val="clear"/>
        <w:spacing w:before="0" w:after="80"/>
        <w:jc w:val="center"/>
      </w:pPr>
      <w:r>
        <w:rPr>
          <w:rFonts w:ascii="Arial" w:cs="Arial" w:eastAsia="Arial" w:hAnsi="Arial"/>
          <w:color w:val="FFD060"/>
          <w:sz w:val="56"/>
          <w:szCs w:val="56"/>
        </w:rPr>
        <w:t xml:space="preserve">✦  </w:t>
      </w:r>
      <w:r>
        <w:rPr>
          <w:rFonts w:ascii="Arial" w:cs="Arial" w:eastAsia="Arial" w:hAnsi="Arial"/>
          <w:b/>
          <w:bCs/>
          <w:color w:val="FFFFFF"/>
          <w:sz w:val="56"/>
          <w:szCs w:val="56"/>
        </w:rPr>
        <w:t xml:space="preserve">A GALAXY OF DISCOVERY</w:t>
      </w:r>
      <w:r>
        <w:rPr>
          <w:rFonts w:ascii="Arial" w:cs="Arial" w:eastAsia="Arial" w:hAnsi="Arial"/>
          <w:color w:val="FFD060"/>
          <w:sz w:val="56"/>
          <w:szCs w:val="56"/>
        </w:rPr>
        <w:t xml:space="preserve">  ✦</w:t>
      </w:r>
    </w:p>
    <w:p>
      <w:pPr>
        <w:shd w:fill="000814" w:val="clear"/>
        <w:spacing w:before="0" w:after="0"/>
        <w:jc w:val="center"/>
      </w:pPr>
      <w:r>
        <w:rPr>
          <w:rFonts w:ascii="Arial" w:cs="Arial" w:eastAsia="Arial" w:hAnsi="Arial"/>
          <w:b w:val="false"/>
          <w:bCs w:val="false"/>
          <w:color w:val="90CAFF"/>
          <w:sz w:val="26"/>
          <w:szCs w:val="26"/>
        </w:rPr>
        <w:t xml:space="preserve">2025 UND Faculty Scholarship, Research &amp; Creative Works</w:t>
      </w:r>
    </w:p>
    <w:p>
      <w:pPr>
        <w:pBdr>
          <w:bottom w:val="single" w:color="00843D" w:sz="6" w:space="1"/>
        </w:pBdr>
        <w:shd w:fill="000814" w:val="clear"/>
        <w:spacing w:before="60" w:after="300"/>
        <w:jc w:val="center"/>
      </w:pPr>
      <w:r>
        <w:rPr>
          <w:rFonts w:ascii="Arial" w:cs="Arial" w:eastAsia="Arial" w:hAnsi="Arial"/>
          <w:color w:val="4A7A9B"/>
          <w:sz w:val="20"/>
          <w:szCs w:val="20"/>
        </w:rPr>
        <w:t xml:space="preserve">University of North Dakota  ·  College of Arts &amp; Sciences</w:t>
      </w:r>
    </w:p>
    <w:p>
      <w:pPr>
        <w:spacing w:before="0" w:after="200"/>
      </w:pPr>
      <w:r>
        <w:t xml:space="preserve"/>
      </w:r>
    </w:p>
    <w:p>
      <w:pPr>
        <w:pStyle w:val="Heading1"/>
        <w:spacing w:before="360" w:after="160"/>
      </w:pPr>
      <w:r>
        <w:rPr>
          <w:rFonts w:ascii="Arial" w:cs="Arial" w:eastAsia="Arial" w:hAnsi="Arial"/>
          <w:b/>
          <w:bCs/>
          <w:color w:val="1F3864"/>
          <w:sz w:val="40"/>
          <w:szCs w:val="40"/>
        </w:rPr>
        <w:t xml:space="preserve">What You Are Looking At</w:t>
      </w:r>
    </w:p>
    <w:p>
      <w:pPr>
        <w:spacing w:before="0" w:after="140"/>
      </w:pPr>
      <w:r>
        <w:rPr>
          <w:rFonts w:ascii="Arial" w:cs="Arial" w:eastAsia="Arial" w:hAnsi="Arial"/>
          <w:color w:val="2C3E50"/>
          <w:sz w:val="22"/>
          <w:szCs w:val="22"/>
        </w:rPr>
        <w:t xml:space="preserve">Each glowing point of light in this living galaxy represents a single scholarly achievement by a UND faculty member in 2025 — a published article, a grant award, a conference presentation, a musical performance, an art exhibition, or a recognized honor.</w:t>
      </w:r>
    </w:p>
    <w:p>
      <w:pPr>
        <w:spacing w:before="0" w:after="140"/>
      </w:pPr>
      <w:r>
        <w:rPr>
          <w:rFonts w:ascii="Arial" w:cs="Arial" w:eastAsia="Arial" w:hAnsi="Arial"/>
          <w:color w:val="2C3E50"/>
          <w:sz w:val="22"/>
          <w:szCs w:val="22"/>
        </w:rPr>
        <w:t xml:space="preserve">Together, 2,402 stars fill this galaxy. Each one is a real work. The galaxy rotates slowly, just as our own Milky Way does, because scholarship at UND is never finished — it is always in motion.</w:t>
      </w:r>
    </w:p>
    <w:p>
      <w:pPr>
        <w:pBdr>
          <w:bottom w:val="single" w:color="00843D" w:sz="8" w:space="1"/>
        </w:pBdr>
        <w:spacing w:before="200" w:after="200"/>
      </w:pPr>
    </w:p>
    <w:p>
      <w:pPr>
        <w:pStyle w:val="Heading1"/>
        <w:spacing w:before="360" w:after="160"/>
      </w:pPr>
      <w:r>
        <w:rPr>
          <w:rFonts w:ascii="Arial" w:cs="Arial" w:eastAsia="Arial" w:hAnsi="Arial"/>
          <w:b/>
          <w:bCs/>
          <w:color w:val="1F3864"/>
          <w:sz w:val="40"/>
          <w:szCs w:val="40"/>
        </w:rPr>
        <w:t xml:space="preserve">Reading the Galaxy</w:t>
      </w:r>
    </w:p>
    <w:p>
      <w:pPr>
        <w:pStyle w:val="Heading2"/>
        <w:spacing w:before="260" w:after="100"/>
      </w:pPr>
      <w:r>
        <w:rPr>
          <w:rFonts w:ascii="Arial" w:cs="Arial" w:eastAsia="Arial" w:hAnsi="Arial"/>
          <w:b/>
          <w:bCs/>
          <w:color w:val="1F3864"/>
          <w:sz w:val="28"/>
          <w:szCs w:val="28"/>
        </w:rPr>
        <w:t xml:space="preserve">Star Color = Discipline</w:t>
      </w:r>
    </w:p>
    <w:p>
      <w:pPr>
        <w:spacing w:before="0" w:after="140"/>
      </w:pPr>
      <w:r>
        <w:rPr>
          <w:rFonts w:ascii="Arial" w:cs="Arial" w:eastAsia="Arial" w:hAnsi="Arial"/>
          <w:color w:val="2C3E50"/>
          <w:sz w:val="22"/>
          <w:szCs w:val="22"/>
        </w:rPr>
        <w:t xml:space="preserve">Every star is colored to show which broad area of knowledge it belongs to. You can see at a glance how the disciplines cluster into spiral arms — the natural shape of a research university.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none"/>
              <w:left w:val="none"/>
              <w:bottom w:val="none"/>
              <w:right w:val="single" w:color="DDDDDD" w:sz="4"/>
            </w:tcBorders>
            <w:shd w:fill="FF8844" w:val="clear"/>
            <w:tcMar>
              <w:top w:type="dxa" w:w="80"/>
              <w:left w:type="dxa" w:w="120"/>
              <w:bottom w:type="dxa" w:w="80"/>
              <w:right w:type="dxa" w:w="120"/>
            </w:tcMar>
          </w:tcPr>
          <w:p/>
        </w:tc>
        <w:tc>
          <w:tcPr>
            <w:tcW w:type="dxa" w:w="2200"/>
            <w:tcBorders>
              <w:top w:val="none"/>
              <w:left w:val="none"/>
              <w:bottom w:val="none"/>
              <w:right w:val="single" w:color="EEEEEE" w:sz="2"/>
            </w:tcBorders>
            <w:tcMar>
              <w:top w:type="dxa" w:w="80"/>
              <w:left w:type="dxa" w:w="160"/>
              <w:bottom w:type="dxa" w:w="80"/>
              <w:right w:type="dxa" w:w="120"/>
            </w:tcMar>
          </w:tcPr>
          <w:p>
            <w:r>
              <w:rPr>
                <w:rFonts w:ascii="Arial" w:cs="Arial" w:eastAsia="Arial" w:hAnsi="Arial"/>
                <w:b/>
                <w:bCs/>
                <w:color w:val="1F3864"/>
                <w:sz w:val="20"/>
                <w:szCs w:val="20"/>
              </w:rPr>
              <w:t xml:space="preserve">Arts &amp; Humanities</w:t>
            </w:r>
          </w:p>
        </w:tc>
        <w:tc>
          <w:tcPr>
            <w:tcW w:type="dxa" w:w="6680"/>
            <w:tcBorders>
              <w:top w:val="none"/>
              <w:left w:val="none"/>
              <w:bottom w:val="none"/>
              <w:right w:val="none"/>
            </w:tcBorders>
            <w:tcMar>
              <w:top w:type="dxa" w:w="80"/>
              <w:left w:type="dxa" w:w="160"/>
              <w:bottom w:type="dxa" w:w="80"/>
              <w:right w:type="dxa" w:w="120"/>
            </w:tcMar>
          </w:tcPr>
          <w:p>
            <w:r>
              <w:rPr>
                <w:rFonts w:ascii="Arial" w:cs="Arial" w:eastAsia="Arial" w:hAnsi="Arial"/>
                <w:color w:val="2C3E50"/>
                <w:sz w:val="20"/>
                <w:szCs w:val="20"/>
              </w:rPr>
              <w:t xml:space="preserve">Art, Music, Theatre, English, Languages, Communication, Philosophy, History</w:t>
            </w:r>
          </w:p>
        </w:tc>
      </w:tr>
      <w:tr>
        <w:tc>
          <w:tcPr>
            <w:tcW w:type="dxa" w:w="480"/>
            <w:tcBorders>
              <w:top w:val="none"/>
              <w:left w:val="none"/>
              <w:bottom w:val="none"/>
              <w:right w:val="single" w:color="DDDDDD" w:sz="4"/>
            </w:tcBorders>
            <w:shd w:fill="44AAFF" w:val="clear"/>
            <w:tcMar>
              <w:top w:type="dxa" w:w="80"/>
              <w:left w:type="dxa" w:w="120"/>
              <w:bottom w:type="dxa" w:w="80"/>
              <w:right w:type="dxa" w:w="120"/>
            </w:tcMar>
          </w:tcPr>
          <w:p/>
        </w:tc>
        <w:tc>
          <w:tcPr>
            <w:tcW w:type="dxa" w:w="2200"/>
            <w:tcBorders>
              <w:top w:val="none"/>
              <w:left w:val="none"/>
              <w:bottom w:val="none"/>
              <w:right w:val="single" w:color="EEEEEE" w:sz="2"/>
            </w:tcBorders>
            <w:tcMar>
              <w:top w:type="dxa" w:w="80"/>
              <w:left w:type="dxa" w:w="160"/>
              <w:bottom w:type="dxa" w:w="80"/>
              <w:right w:type="dxa" w:w="120"/>
            </w:tcMar>
          </w:tcPr>
          <w:p>
            <w:r>
              <w:rPr>
                <w:rFonts w:ascii="Arial" w:cs="Arial" w:eastAsia="Arial" w:hAnsi="Arial"/>
                <w:b/>
                <w:bCs/>
                <w:color w:val="1F3864"/>
                <w:sz w:val="20"/>
                <w:szCs w:val="20"/>
              </w:rPr>
              <w:t xml:space="preserve">Social Sciences</w:t>
            </w:r>
          </w:p>
        </w:tc>
        <w:tc>
          <w:tcPr>
            <w:tcW w:type="dxa" w:w="6680"/>
            <w:tcBorders>
              <w:top w:val="none"/>
              <w:left w:val="none"/>
              <w:bottom w:val="none"/>
              <w:right w:val="none"/>
            </w:tcBorders>
            <w:tcMar>
              <w:top w:type="dxa" w:w="80"/>
              <w:left w:type="dxa" w:w="160"/>
              <w:bottom w:type="dxa" w:w="80"/>
              <w:right w:type="dxa" w:w="120"/>
            </w:tcMar>
          </w:tcPr>
          <w:p>
            <w:r>
              <w:rPr>
                <w:rFonts w:ascii="Arial" w:cs="Arial" w:eastAsia="Arial" w:hAnsi="Arial"/>
                <w:color w:val="2C3E50"/>
                <w:sz w:val="20"/>
                <w:szCs w:val="20"/>
              </w:rPr>
              <w:t xml:space="preserve">Psychology, Sociology, Economics, Education, Business, Law, Public Administration</w:t>
            </w:r>
          </w:p>
        </w:tc>
      </w:tr>
      <w:tr>
        <w:tc>
          <w:tcPr>
            <w:tcW w:type="dxa" w:w="480"/>
            <w:tcBorders>
              <w:top w:val="none"/>
              <w:left w:val="none"/>
              <w:bottom w:val="none"/>
              <w:right w:val="single" w:color="DDDDDD" w:sz="4"/>
            </w:tcBorders>
            <w:shd w:fill="44FFCC" w:val="clear"/>
            <w:tcMar>
              <w:top w:type="dxa" w:w="80"/>
              <w:left w:type="dxa" w:w="120"/>
              <w:bottom w:type="dxa" w:w="80"/>
              <w:right w:type="dxa" w:w="120"/>
            </w:tcMar>
          </w:tcPr>
          <w:p/>
        </w:tc>
        <w:tc>
          <w:tcPr>
            <w:tcW w:type="dxa" w:w="2200"/>
            <w:tcBorders>
              <w:top w:val="none"/>
              <w:left w:val="none"/>
              <w:bottom w:val="none"/>
              <w:right w:val="single" w:color="EEEEEE" w:sz="2"/>
            </w:tcBorders>
            <w:tcMar>
              <w:top w:type="dxa" w:w="80"/>
              <w:left w:type="dxa" w:w="160"/>
              <w:bottom w:type="dxa" w:w="80"/>
              <w:right w:type="dxa" w:w="120"/>
            </w:tcMar>
          </w:tcPr>
          <w:p>
            <w:r>
              <w:rPr>
                <w:rFonts w:ascii="Arial" w:cs="Arial" w:eastAsia="Arial" w:hAnsi="Arial"/>
                <w:b/>
                <w:bCs/>
                <w:color w:val="1F3864"/>
                <w:sz w:val="20"/>
                <w:szCs w:val="20"/>
              </w:rPr>
              <w:t xml:space="preserve">Health Sciences</w:t>
            </w:r>
          </w:p>
        </w:tc>
        <w:tc>
          <w:tcPr>
            <w:tcW w:type="dxa" w:w="6680"/>
            <w:tcBorders>
              <w:top w:val="none"/>
              <w:left w:val="none"/>
              <w:bottom w:val="none"/>
              <w:right w:val="none"/>
            </w:tcBorders>
            <w:tcMar>
              <w:top w:type="dxa" w:w="80"/>
              <w:left w:type="dxa" w:w="160"/>
              <w:bottom w:type="dxa" w:w="80"/>
              <w:right w:type="dxa" w:w="120"/>
            </w:tcMar>
          </w:tcPr>
          <w:p>
            <w:r>
              <w:rPr>
                <w:rFonts w:ascii="Arial" w:cs="Arial" w:eastAsia="Arial" w:hAnsi="Arial"/>
                <w:color w:val="2C3E50"/>
                <w:sz w:val="20"/>
                <w:szCs w:val="20"/>
              </w:rPr>
              <w:t xml:space="preserve">Nursing, Medicine, Clinical Sciences, Pharmacy, Occupational &amp; Physical Therapy</w:t>
            </w:r>
          </w:p>
        </w:tc>
      </w:tr>
      <w:tr>
        <w:tc>
          <w:tcPr>
            <w:tcW w:type="dxa" w:w="480"/>
            <w:tcBorders>
              <w:top w:val="none"/>
              <w:left w:val="none"/>
              <w:bottom w:val="none"/>
              <w:right w:val="single" w:color="DDDDDD" w:sz="4"/>
            </w:tcBorders>
            <w:shd w:fill="FFDD44" w:val="clear"/>
            <w:tcMar>
              <w:top w:type="dxa" w:w="80"/>
              <w:left w:type="dxa" w:w="120"/>
              <w:bottom w:type="dxa" w:w="80"/>
              <w:right w:type="dxa" w:w="120"/>
            </w:tcMar>
          </w:tcPr>
          <w:p/>
        </w:tc>
        <w:tc>
          <w:tcPr>
            <w:tcW w:type="dxa" w:w="2200"/>
            <w:tcBorders>
              <w:top w:val="none"/>
              <w:left w:val="none"/>
              <w:bottom w:val="none"/>
              <w:right w:val="single" w:color="EEEEEE" w:sz="2"/>
            </w:tcBorders>
            <w:tcMar>
              <w:top w:type="dxa" w:w="80"/>
              <w:left w:type="dxa" w:w="160"/>
              <w:bottom w:type="dxa" w:w="80"/>
              <w:right w:type="dxa" w:w="120"/>
            </w:tcMar>
          </w:tcPr>
          <w:p>
            <w:r>
              <w:rPr>
                <w:rFonts w:ascii="Arial" w:cs="Arial" w:eastAsia="Arial" w:hAnsi="Arial"/>
                <w:b/>
                <w:bCs/>
                <w:color w:val="1F3864"/>
                <w:sz w:val="20"/>
                <w:szCs w:val="20"/>
              </w:rPr>
              <w:t xml:space="preserve">Physical Sciences &amp; Engineering</w:t>
            </w:r>
          </w:p>
        </w:tc>
        <w:tc>
          <w:tcPr>
            <w:tcW w:type="dxa" w:w="6680"/>
            <w:tcBorders>
              <w:top w:val="none"/>
              <w:left w:val="none"/>
              <w:bottom w:val="none"/>
              <w:right w:val="none"/>
            </w:tcBorders>
            <w:tcMar>
              <w:top w:type="dxa" w:w="80"/>
              <w:left w:type="dxa" w:w="160"/>
              <w:bottom w:type="dxa" w:w="80"/>
              <w:right w:type="dxa" w:w="120"/>
            </w:tcMar>
          </w:tcPr>
          <w:p>
            <w:r>
              <w:rPr>
                <w:rFonts w:ascii="Arial" w:cs="Arial" w:eastAsia="Arial" w:hAnsi="Arial"/>
                <w:color w:val="2C3E50"/>
                <w:sz w:val="20"/>
                <w:szCs w:val="20"/>
              </w:rPr>
              <w:t xml:space="preserve">Chemistry, Physics, Mathematics, Computer Science, Engineering, Atmospheric Sciences, Aerospace</w:t>
            </w:r>
          </w:p>
        </w:tc>
      </w:tr>
      <w:tr>
        <w:tc>
          <w:tcPr>
            <w:tcW w:type="dxa" w:w="480"/>
            <w:tcBorders>
              <w:top w:val="none"/>
              <w:left w:val="none"/>
              <w:bottom w:val="none"/>
              <w:right w:val="single" w:color="DDDDDD" w:sz="4"/>
            </w:tcBorders>
            <w:shd w:fill="CC88FF" w:val="clear"/>
            <w:tcMar>
              <w:top w:type="dxa" w:w="80"/>
              <w:left w:type="dxa" w:w="120"/>
              <w:bottom w:type="dxa" w:w="80"/>
              <w:right w:type="dxa" w:w="120"/>
            </w:tcMar>
          </w:tcPr>
          <w:p/>
        </w:tc>
        <w:tc>
          <w:tcPr>
            <w:tcW w:type="dxa" w:w="2200"/>
            <w:tcBorders>
              <w:top w:val="none"/>
              <w:left w:val="none"/>
              <w:bottom w:val="none"/>
              <w:right w:val="single" w:color="EEEEEE" w:sz="2"/>
            </w:tcBorders>
            <w:tcMar>
              <w:top w:type="dxa" w:w="80"/>
              <w:left w:type="dxa" w:w="160"/>
              <w:bottom w:type="dxa" w:w="80"/>
              <w:right w:type="dxa" w:w="120"/>
            </w:tcMar>
          </w:tcPr>
          <w:p>
            <w:r>
              <w:rPr>
                <w:rFonts w:ascii="Arial" w:cs="Arial" w:eastAsia="Arial" w:hAnsi="Arial"/>
                <w:b/>
                <w:bCs/>
                <w:color w:val="1F3864"/>
                <w:sz w:val="20"/>
                <w:szCs w:val="20"/>
              </w:rPr>
              <w:t xml:space="preserve">Life Sciences</w:t>
            </w:r>
          </w:p>
        </w:tc>
        <w:tc>
          <w:tcPr>
            <w:tcW w:type="dxa" w:w="6680"/>
            <w:tcBorders>
              <w:top w:val="none"/>
              <w:left w:val="none"/>
              <w:bottom w:val="none"/>
              <w:right w:val="none"/>
            </w:tcBorders>
            <w:tcMar>
              <w:top w:type="dxa" w:w="80"/>
              <w:left w:type="dxa" w:w="160"/>
              <w:bottom w:type="dxa" w:w="80"/>
              <w:right w:type="dxa" w:w="120"/>
            </w:tcMar>
          </w:tcPr>
          <w:p>
            <w:r>
              <w:rPr>
                <w:rFonts w:ascii="Arial" w:cs="Arial" w:eastAsia="Arial" w:hAnsi="Arial"/>
                <w:color w:val="2C3E50"/>
                <w:sz w:val="20"/>
                <w:szCs w:val="20"/>
              </w:rPr>
              <w:t xml:space="preserve">Biology, Biomedical Sciences, Environmental Science, Anatomy, Microbiology</w:t>
            </w:r>
          </w:p>
        </w:tc>
      </w:tr>
      <w:tr>
        <w:tc>
          <w:tcPr>
            <w:tcW w:type="dxa" w:w="480"/>
            <w:tcBorders>
              <w:top w:val="none"/>
              <w:left w:val="none"/>
              <w:bottom w:val="none"/>
              <w:right w:val="single" w:color="DDDDDD" w:sz="4"/>
            </w:tcBorders>
            <w:shd w:fill="FFD060" w:val="clear"/>
            <w:tcMar>
              <w:top w:type="dxa" w:w="80"/>
              <w:left w:type="dxa" w:w="120"/>
              <w:bottom w:type="dxa" w:w="80"/>
              <w:right w:type="dxa" w:w="120"/>
            </w:tcMar>
          </w:tcPr>
          <w:p/>
        </w:tc>
        <w:tc>
          <w:tcPr>
            <w:tcW w:type="dxa" w:w="2200"/>
            <w:tcBorders>
              <w:top w:val="none"/>
              <w:left w:val="none"/>
              <w:bottom w:val="none"/>
              <w:right w:val="single" w:color="EEEEEE" w:sz="2"/>
            </w:tcBorders>
            <w:tcMar>
              <w:top w:type="dxa" w:w="80"/>
              <w:left w:type="dxa" w:w="160"/>
              <w:bottom w:type="dxa" w:w="80"/>
              <w:right w:type="dxa" w:w="120"/>
            </w:tcMar>
          </w:tcPr>
          <w:p>
            <w:r>
              <w:rPr>
                <w:rFonts w:ascii="Arial" w:cs="Arial" w:eastAsia="Arial" w:hAnsi="Arial"/>
                <w:b/>
                <w:bCs/>
                <w:color w:val="1F3864"/>
                <w:sz w:val="20"/>
                <w:szCs w:val="20"/>
              </w:rPr>
              <w:t xml:space="preserve">Gold Stars  ✦</w:t>
            </w:r>
          </w:p>
        </w:tc>
        <w:tc>
          <w:tcPr>
            <w:tcW w:type="dxa" w:w="6680"/>
            <w:tcBorders>
              <w:top w:val="none"/>
              <w:left w:val="none"/>
              <w:bottom w:val="none"/>
              <w:right w:val="none"/>
            </w:tcBorders>
            <w:tcMar>
              <w:top w:type="dxa" w:w="80"/>
              <w:left w:type="dxa" w:w="160"/>
              <w:bottom w:type="dxa" w:w="80"/>
              <w:right w:type="dxa" w:w="120"/>
            </w:tcMar>
          </w:tcPr>
          <w:p>
            <w:r>
              <w:rPr>
                <w:rFonts w:ascii="Arial" w:cs="Arial" w:eastAsia="Arial" w:hAnsi="Arial"/>
                <w:color w:val="2C3E50"/>
                <w:sz w:val="20"/>
                <w:szCs w:val="20"/>
              </w:rPr>
              <w:t xml:space="preserve">Open Access — the full text of this work is freely available to anyone online</w:t>
            </w:r>
          </w:p>
        </w:tc>
      </w:tr>
    </w:tbl>
    <w:p>
      <w:pPr>
        <w:spacing w:before="0" w:after="200"/>
      </w:pPr>
      <w:r>
        <w:t xml:space="preserve"/>
      </w:r>
    </w:p>
    <w:p>
      <w:pPr>
        <w:pStyle w:val="Heading2"/>
        <w:spacing w:before="260" w:after="100"/>
      </w:pPr>
      <w:r>
        <w:rPr>
          <w:rFonts w:ascii="Arial" w:cs="Arial" w:eastAsia="Arial" w:hAnsi="Arial"/>
          <w:b/>
          <w:bCs/>
          <w:color w:val="1F3864"/>
          <w:sz w:val="28"/>
          <w:szCs w:val="28"/>
        </w:rPr>
        <w:t xml:space="preserve">The Two Galaxy Views</w:t>
      </w:r>
    </w:p>
    <w:p>
      <w:pPr>
        <w:spacing w:before="0" w:after="140"/>
      </w:pPr>
      <w:r>
        <w:rPr>
          <w:rFonts w:ascii="Arial" w:cs="Arial" w:eastAsia="Arial" w:hAnsi="Arial"/>
          <w:b/>
          <w:bCs/>
          <w:color w:val="1F3864"/>
          <w:sz w:val="22"/>
          <w:szCs w:val="22"/>
        </w:rPr>
        <w:t xml:space="preserve">🌀 Spiral View — </w:t>
      </w:r>
      <w:r>
        <w:rPr>
          <w:rFonts w:ascii="Arial" w:cs="Arial" w:eastAsia="Arial" w:hAnsi="Arial"/>
          <w:color w:val="2C3E50"/>
          <w:sz w:val="22"/>
          <w:szCs w:val="22"/>
        </w:rPr>
        <w:t xml:space="preserve">the default. Stars are arranged into six spiral arms, one per discipline. This is how a galaxy looks from above: each discipline forms its own stream of light.</w:t>
      </w:r>
    </w:p>
    <w:p>
      <w:pPr>
        <w:spacing w:before="0" w:after="140"/>
      </w:pPr>
      <w:r>
        <w:rPr>
          <w:rFonts w:ascii="Arial" w:cs="Arial" w:eastAsia="Arial" w:hAnsi="Arial"/>
          <w:b/>
          <w:bCs/>
          <w:color w:val="1F3864"/>
          <w:sz w:val="22"/>
          <w:szCs w:val="22"/>
        </w:rPr>
        <w:t xml:space="preserve">✦ Galaxy View — </w:t>
      </w:r>
      <w:r>
        <w:rPr>
          <w:rFonts w:ascii="Arial" w:cs="Arial" w:eastAsia="Arial" w:hAnsi="Arial"/>
          <w:color w:val="2C3E50"/>
          <w:sz w:val="22"/>
          <w:szCs w:val="22"/>
        </w:rPr>
        <w:t xml:space="preserve">all disciplines are shuffled into a single swirling galaxy. The color is still there, but the disciplines intermingle — a reminder that the best scholarship crosses boundaries.</w:t>
      </w:r>
    </w:p>
    <w:p>
      <w:pPr>
        <w:spacing w:before="0" w:after="140"/>
      </w:pPr>
      <w:r>
        <w:rPr>
          <w:rFonts w:ascii="Arial" w:cs="Arial" w:eastAsia="Arial" w:hAnsi="Arial"/>
          <w:b/>
          <w:bCs/>
          <w:color w:val="1F3864"/>
          <w:sz w:val="22"/>
          <w:szCs w:val="22"/>
        </w:rPr>
        <w:t xml:space="preserve">🎓 UND View — </w:t>
      </w:r>
      <w:r>
        <w:rPr>
          <w:rFonts w:ascii="Arial" w:cs="Arial" w:eastAsia="Arial" w:hAnsi="Arial"/>
          <w:color w:val="2C3E50"/>
          <w:sz w:val="22"/>
          <w:szCs w:val="22"/>
        </w:rPr>
        <w:t xml:space="preserve">the galaxy morphs and the stars flow into the shape of the UND logo. The rotation slows and the letters form, star by star. Stars inside the D's bowl shift to orange, echoing the flame in the UND brand.</w:t>
      </w:r>
    </w:p>
    <w:p>
      <w:pPr>
        <w:spacing w:before="0" w:after="120"/>
      </w:pPr>
      <w:r>
        <w:t xml:space="preserve"/>
      </w:r>
    </w:p>
    <w:p>
      <w:pPr>
        <w:pStyle w:val="Heading2"/>
        <w:spacing w:before="260" w:after="100"/>
      </w:pPr>
      <w:r>
        <w:rPr>
          <w:rFonts w:ascii="Arial" w:cs="Arial" w:eastAsia="Arial" w:hAnsi="Arial"/>
          <w:b/>
          <w:bCs/>
          <w:color w:val="1F3864"/>
          <w:sz w:val="28"/>
          <w:szCs w:val="28"/>
        </w:rPr>
        <w:t xml:space="preserve">Constellations</w:t>
      </w:r>
    </w:p>
    <w:p>
      <w:pPr>
        <w:spacing w:before="0" w:after="140"/>
      </w:pPr>
      <w:r>
        <w:rPr>
          <w:rFonts w:ascii="Arial" w:cs="Arial" w:eastAsia="Arial" w:hAnsi="Arial"/>
          <w:color w:val="2C3E50"/>
          <w:sz w:val="22"/>
          <w:szCs w:val="22"/>
        </w:rPr>
        <w:t xml:space="preserve">When you select a star, all other works by the same faculty member light up in pale blue. Thin glowing lines connect them, forming a personal constellation — the full arc of one scholar's year, visible in the galaxy. The more works an author has, the more elaborate their constellation.</w:t>
      </w:r>
    </w:p>
    <w:p>
      <w:pPr>
        <w:pBdr>
          <w:bottom w:val="single" w:color="00843D" w:sz="8" w:space="1"/>
        </w:pBdr>
        <w:spacing w:before="200" w:after="200"/>
      </w:pPr>
    </w:p>
    <w:p>
      <w:pPr>
        <w:pStyle w:val="Heading1"/>
        <w:spacing w:before="360" w:after="160"/>
      </w:pPr>
      <w:r>
        <w:rPr>
          <w:rFonts w:ascii="Arial" w:cs="Arial" w:eastAsia="Arial" w:hAnsi="Arial"/>
          <w:b/>
          <w:bCs/>
          <w:color w:val="1F3864"/>
          <w:sz w:val="40"/>
          <w:szCs w:val="40"/>
        </w:rPr>
        <w:t xml:space="preserve">How to Interact</w:t>
      </w:r>
    </w:p>
    <w:p>
      <w:pPr>
        <w:pStyle w:val="Heading2"/>
        <w:spacing w:before="260" w:after="100"/>
      </w:pPr>
      <w:r>
        <w:rPr>
          <w:rFonts w:ascii="Arial" w:cs="Arial" w:eastAsia="Arial" w:hAnsi="Arial"/>
          <w:b/>
          <w:bCs/>
          <w:color w:val="1F3864"/>
          <w:sz w:val="28"/>
          <w:szCs w:val="28"/>
        </w:rPr>
        <w:t xml:space="preserve">On a Touch Screen</w:t>
      </w:r>
    </w:p>
    <w:p>
      <w:pPr>
        <w:pStyle w:val="ListParagraph"/>
        <w:numPr>
          <w:ilvl w:val="0"/>
          <w:numId w:val="2"/>
        </w:numPr>
        <w:spacing w:before="30" w:after="80"/>
      </w:pPr>
      <w:r>
        <w:rPr>
          <w:rFonts w:ascii="Arial" w:cs="Arial" w:eastAsia="Arial" w:hAnsi="Arial"/>
          <w:b/>
          <w:bCs/>
          <w:color w:val="1F3864"/>
          <w:sz w:val="22"/>
          <w:szCs w:val="22"/>
        </w:rPr>
        <w:t xml:space="preserve">Tap any star </w:t>
      </w:r>
      <w:r>
        <w:rPr>
          <w:rFonts w:ascii="Arial" w:cs="Arial" w:eastAsia="Arial" w:hAnsi="Arial"/>
          <w:color w:val="2C3E50"/>
          <w:sz w:val="22"/>
          <w:szCs w:val="22"/>
        </w:rPr>
        <w:t xml:space="preserve">to open its full citation — title, author, department, and links to the work itself.</w:t>
      </w:r>
    </w:p>
    <w:p>
      <w:pPr>
        <w:pStyle w:val="ListParagraph"/>
        <w:numPr>
          <w:ilvl w:val="0"/>
          <w:numId w:val="2"/>
        </w:numPr>
        <w:spacing w:before="30" w:after="80"/>
      </w:pPr>
      <w:r>
        <w:rPr>
          <w:rFonts w:ascii="Arial" w:cs="Arial" w:eastAsia="Arial" w:hAnsi="Arial"/>
          <w:b/>
          <w:bCs/>
          <w:color w:val="1F3864"/>
          <w:sz w:val="22"/>
          <w:szCs w:val="22"/>
        </w:rPr>
        <w:t xml:space="preserve">Drag </w:t>
      </w:r>
      <w:r>
        <w:rPr>
          <w:rFonts w:ascii="Arial" w:cs="Arial" w:eastAsia="Arial" w:hAnsi="Arial"/>
          <w:color w:val="2C3E50"/>
          <w:sz w:val="22"/>
          <w:szCs w:val="22"/>
        </w:rPr>
        <w:t xml:space="preserve">to move through the galaxy in any direction.</w:t>
      </w:r>
    </w:p>
    <w:p>
      <w:pPr>
        <w:pStyle w:val="ListParagraph"/>
        <w:numPr>
          <w:ilvl w:val="0"/>
          <w:numId w:val="2"/>
        </w:numPr>
        <w:spacing w:before="30" w:after="80"/>
      </w:pPr>
      <w:r>
        <w:rPr>
          <w:rFonts w:ascii="Arial" w:cs="Arial" w:eastAsia="Arial" w:hAnsi="Arial"/>
          <w:b/>
          <w:bCs/>
          <w:color w:val="1F3864"/>
          <w:sz w:val="22"/>
          <w:szCs w:val="22"/>
        </w:rPr>
        <w:t xml:space="preserve">Pinch with two fingers </w:t>
      </w:r>
      <w:r>
        <w:rPr>
          <w:rFonts w:ascii="Arial" w:cs="Arial" w:eastAsia="Arial" w:hAnsi="Arial"/>
          <w:color w:val="2C3E50"/>
          <w:sz w:val="22"/>
          <w:szCs w:val="22"/>
        </w:rPr>
        <w:t xml:space="preserve">to zoom in for a closer look at any region, or pinch out to see the whole galaxy at once.</w:t>
      </w:r>
    </w:p>
    <w:p>
      <w:pPr>
        <w:pStyle w:val="ListParagraph"/>
        <w:numPr>
          <w:ilvl w:val="0"/>
          <w:numId w:val="2"/>
        </w:numPr>
        <w:spacing w:before="30" w:after="80"/>
      </w:pPr>
      <w:r>
        <w:rPr>
          <w:rFonts w:ascii="Arial" w:cs="Arial" w:eastAsia="Arial" w:hAnsi="Arial"/>
          <w:b/>
          <w:bCs/>
          <w:color w:val="1F3864"/>
          <w:sz w:val="22"/>
          <w:szCs w:val="22"/>
        </w:rPr>
        <w:t xml:space="preserve">Tap a discipline in the Filters panel </w:t>
      </w:r>
      <w:r>
        <w:rPr>
          <w:rFonts w:ascii="Arial" w:cs="Arial" w:eastAsia="Arial" w:hAnsi="Arial"/>
          <w:color w:val="2C3E50"/>
          <w:sz w:val="22"/>
          <w:szCs w:val="22"/>
        </w:rPr>
        <w:t xml:space="preserve">(bottom-left) to show or hide that entire field.</w:t>
      </w:r>
    </w:p>
    <w:p>
      <w:pPr>
        <w:pStyle w:val="ListParagraph"/>
        <w:numPr>
          <w:ilvl w:val="0"/>
          <w:numId w:val="2"/>
        </w:numPr>
        <w:spacing w:before="30" w:after="80"/>
      </w:pPr>
      <w:r>
        <w:rPr>
          <w:rFonts w:ascii="Arial" w:cs="Arial" w:eastAsia="Arial" w:hAnsi="Arial"/>
          <w:b/>
          <w:bCs/>
          <w:color w:val="1F3864"/>
          <w:sz w:val="22"/>
          <w:szCs w:val="22"/>
        </w:rPr>
        <w:t xml:space="preserve">Tap a category chip </w:t>
      </w:r>
      <w:r>
        <w:rPr>
          <w:rFonts w:ascii="Arial" w:cs="Arial" w:eastAsia="Arial" w:hAnsi="Arial"/>
          <w:color w:val="2C3E50"/>
          <w:sz w:val="22"/>
          <w:szCs w:val="22"/>
        </w:rPr>
        <w:t xml:space="preserve">to filter by type of work — show only Publications, only Grants, only Performances, and so on.</w:t>
      </w:r>
    </w:p>
    <w:p>
      <w:pPr>
        <w:pStyle w:val="ListParagraph"/>
        <w:numPr>
          <w:ilvl w:val="0"/>
          <w:numId w:val="2"/>
        </w:numPr>
        <w:spacing w:before="30" w:after="80"/>
      </w:pPr>
      <w:r>
        <w:rPr>
          <w:rFonts w:ascii="Arial" w:cs="Arial" w:eastAsia="Arial" w:hAnsi="Arial"/>
          <w:b/>
          <w:bCs/>
          <w:color w:val="1F3864"/>
          <w:sz w:val="22"/>
          <w:szCs w:val="22"/>
        </w:rPr>
        <w:t xml:space="preserve">Tap Open Access </w:t>
      </w:r>
      <w:r>
        <w:rPr>
          <w:rFonts w:ascii="Arial" w:cs="Arial" w:eastAsia="Arial" w:hAnsi="Arial"/>
          <w:color w:val="2C3E50"/>
          <w:sz w:val="22"/>
          <w:szCs w:val="22"/>
        </w:rPr>
        <w:t xml:space="preserve">to highlight only the works freely available online, and filter to show just those.</w:t>
      </w:r>
    </w:p>
    <w:p>
      <w:pPr>
        <w:spacing w:before="0" w:after="120"/>
      </w:pPr>
      <w:r>
        <w:t xml:space="preserve"/>
      </w:r>
    </w:p>
    <w:p>
      <w:pPr>
        <w:pStyle w:val="Heading2"/>
        <w:spacing w:before="260" w:after="100"/>
      </w:pPr>
      <w:r>
        <w:rPr>
          <w:rFonts w:ascii="Arial" w:cs="Arial" w:eastAsia="Arial" w:hAnsi="Arial"/>
          <w:b/>
          <w:bCs/>
          <w:color w:val="1F3864"/>
          <w:sz w:val="28"/>
          <w:szCs w:val="28"/>
        </w:rPr>
        <w:t xml:space="preserve">On a Mouse &amp; Keyboard</w:t>
      </w:r>
    </w:p>
    <w:p>
      <w:pPr>
        <w:pStyle w:val="ListParagraph"/>
        <w:numPr>
          <w:ilvl w:val="0"/>
          <w:numId w:val="2"/>
        </w:numPr>
        <w:spacing w:before="30" w:after="80"/>
      </w:pPr>
      <w:r>
        <w:rPr>
          <w:rFonts w:ascii="Arial" w:cs="Arial" w:eastAsia="Arial" w:hAnsi="Arial"/>
          <w:b/>
          <w:bCs/>
          <w:color w:val="1F3864"/>
          <w:sz w:val="22"/>
          <w:szCs w:val="22"/>
        </w:rPr>
        <w:t xml:space="preserve">Hover </w:t>
      </w:r>
      <w:r>
        <w:rPr>
          <w:rFonts w:ascii="Arial" w:cs="Arial" w:eastAsia="Arial" w:hAnsi="Arial"/>
          <w:color w:val="2C3E50"/>
          <w:sz w:val="22"/>
          <w:szCs w:val="22"/>
        </w:rPr>
        <w:t xml:space="preserve">over any star to see a ripple glow — a signal that something is there. Hover longer and click to open the full citation.</w:t>
      </w:r>
    </w:p>
    <w:p>
      <w:pPr>
        <w:pStyle w:val="ListParagraph"/>
        <w:numPr>
          <w:ilvl w:val="0"/>
          <w:numId w:val="2"/>
        </w:numPr>
        <w:spacing w:before="30" w:after="80"/>
      </w:pPr>
      <w:r>
        <w:rPr>
          <w:rFonts w:ascii="Arial" w:cs="Arial" w:eastAsia="Arial" w:hAnsi="Arial"/>
          <w:b/>
          <w:bCs/>
          <w:color w:val="1F3864"/>
          <w:sz w:val="22"/>
          <w:szCs w:val="22"/>
        </w:rPr>
        <w:t xml:space="preserve">Scroll </w:t>
      </w:r>
      <w:r>
        <w:rPr>
          <w:rFonts w:ascii="Arial" w:cs="Arial" w:eastAsia="Arial" w:hAnsi="Arial"/>
          <w:color w:val="2C3E50"/>
          <w:sz w:val="22"/>
          <w:szCs w:val="22"/>
        </w:rPr>
        <w:t xml:space="preserve">to zoom in or out, centered on your cursor.</w:t>
      </w:r>
    </w:p>
    <w:p>
      <w:pPr>
        <w:pStyle w:val="ListParagraph"/>
        <w:numPr>
          <w:ilvl w:val="0"/>
          <w:numId w:val="2"/>
        </w:numPr>
        <w:spacing w:before="30" w:after="80"/>
      </w:pPr>
      <w:r>
        <w:rPr>
          <w:rFonts w:ascii="Arial" w:cs="Arial" w:eastAsia="Arial" w:hAnsi="Arial"/>
          <w:b/>
          <w:bCs/>
          <w:color w:val="1F3864"/>
          <w:sz w:val="22"/>
          <w:szCs w:val="22"/>
        </w:rPr>
        <w:t xml:space="preserve">Click and drag </w:t>
      </w:r>
      <w:r>
        <w:rPr>
          <w:rFonts w:ascii="Arial" w:cs="Arial" w:eastAsia="Arial" w:hAnsi="Arial"/>
          <w:color w:val="2C3E50"/>
          <w:sz w:val="22"/>
          <w:szCs w:val="22"/>
        </w:rPr>
        <w:t xml:space="preserve">to pan across the galaxy.</w:t>
      </w:r>
    </w:p>
    <w:p>
      <w:pPr>
        <w:pStyle w:val="ListParagraph"/>
        <w:numPr>
          <w:ilvl w:val="0"/>
          <w:numId w:val="2"/>
        </w:numPr>
        <w:spacing w:before="30" w:after="80"/>
      </w:pPr>
      <w:r>
        <w:rPr>
          <w:rFonts w:ascii="Arial" w:cs="Arial" w:eastAsia="Arial" w:hAnsi="Arial"/>
          <w:b/>
          <w:bCs/>
          <w:color w:val="1F3864"/>
          <w:sz w:val="22"/>
          <w:szCs w:val="22"/>
        </w:rPr>
        <w:t xml:space="preserve">Press Escape </w:t>
      </w:r>
      <w:r>
        <w:rPr>
          <w:rFonts w:ascii="Arial" w:cs="Arial" w:eastAsia="Arial" w:hAnsi="Arial"/>
          <w:color w:val="2C3E50"/>
          <w:sz w:val="22"/>
          <w:szCs w:val="22"/>
        </w:rPr>
        <w:t xml:space="preserve">to close any open panel and return to browsing.</w:t>
      </w:r>
    </w:p>
    <w:p>
      <w:pPr>
        <w:pStyle w:val="ListParagraph"/>
        <w:numPr>
          <w:ilvl w:val="0"/>
          <w:numId w:val="2"/>
        </w:numPr>
        <w:spacing w:before="30" w:after="80"/>
      </w:pPr>
      <w:r>
        <w:rPr>
          <w:rFonts w:ascii="Arial" w:cs="Arial" w:eastAsia="Arial" w:hAnsi="Arial"/>
          <w:b/>
          <w:bCs/>
          <w:color w:val="1F3864"/>
          <w:sz w:val="22"/>
          <w:szCs w:val="22"/>
        </w:rPr>
        <w:t xml:space="preserve">Use the search bar </w:t>
      </w:r>
      <w:r>
        <w:rPr>
          <w:rFonts w:ascii="Arial" w:cs="Arial" w:eastAsia="Arial" w:hAnsi="Arial"/>
          <w:color w:val="2C3E50"/>
          <w:sz w:val="22"/>
          <w:szCs w:val="22"/>
        </w:rPr>
        <w:t xml:space="preserve">at the top to find works by author name, title, department, or keyword. The galaxy flies toward the matching results.</w:t>
      </w:r>
    </w:p>
    <w:p>
      <w:pPr>
        <w:spacing w:before="0" w:after="120"/>
      </w:pPr>
      <w:r>
        <w:t xml:space="preserve"/>
      </w:r>
    </w:p>
    <w:p>
      <w:pPr>
        <w:pStyle w:val="Heading2"/>
        <w:spacing w:before="260" w:after="100"/>
      </w:pPr>
      <w:r>
        <w:rPr>
          <w:rFonts w:ascii="Arial" w:cs="Arial" w:eastAsia="Arial" w:hAnsi="Arial"/>
          <w:b/>
          <w:bCs/>
          <w:color w:val="1F3864"/>
          <w:sz w:val="28"/>
          <w:szCs w:val="28"/>
        </w:rPr>
        <w:t xml:space="preserve">Searching the Galaxy</w:t>
      </w:r>
    </w:p>
    <w:p>
      <w:pPr>
        <w:spacing w:before="0" w:after="140"/>
      </w:pPr>
      <w:r>
        <w:rPr>
          <w:rFonts w:ascii="Arial" w:cs="Arial" w:eastAsia="Arial" w:hAnsi="Arial"/>
          <w:color w:val="2C3E50"/>
          <w:sz w:val="22"/>
          <w:szCs w:val="22"/>
        </w:rPr>
        <w:t xml:space="preserve">Type any author's name into the search bar. The galaxy camera will navigate toward their stars, highlight them, and draw their personal constellation. You can also search by title, department name, discipline, or category of work.</w:t>
      </w:r>
    </w:p>
    <w:p>
      <w:pPr>
        <w:spacing w:before="0" w:after="140"/>
      </w:pPr>
      <w:r>
        <w:rPr>
          <w:rFonts w:ascii="Arial" w:cs="Arial" w:eastAsia="Arial" w:hAnsi="Arial"/>
          <w:color w:val="2C3E50"/>
          <w:sz w:val="22"/>
          <w:szCs w:val="22"/>
        </w:rPr>
        <w:t xml:space="preserve">Results count appears in real time as you type. Press the ✕ button or clear the search bar to return to the full galaxy.</w:t>
      </w:r>
    </w:p>
    <w:p>
      <w:pPr>
        <w:pBdr>
          <w:bottom w:val="single" w:color="00843D" w:sz="8" w:space="1"/>
        </w:pBdr>
        <w:spacing w:before="200" w:after="200"/>
      </w:pPr>
    </w:p>
    <w:p>
      <w:pPr>
        <w:pStyle w:val="Heading1"/>
        <w:spacing w:before="360" w:after="160"/>
      </w:pPr>
      <w:r>
        <w:rPr>
          <w:rFonts w:ascii="Arial" w:cs="Arial" w:eastAsia="Arial" w:hAnsi="Arial"/>
          <w:b/>
          <w:bCs/>
          <w:color w:val="1F3864"/>
          <w:sz w:val="40"/>
          <w:szCs w:val="40"/>
        </w:rPr>
        <w:t xml:space="preserve">The Filters Panel</w:t>
      </w:r>
    </w:p>
    <w:p>
      <w:pPr>
        <w:spacing w:before="0" w:after="140"/>
      </w:pPr>
      <w:r>
        <w:rPr>
          <w:rFonts w:ascii="Arial" w:cs="Arial" w:eastAsia="Arial" w:hAnsi="Arial"/>
          <w:color w:val="2C3E50"/>
          <w:sz w:val="22"/>
          <w:szCs w:val="22"/>
        </w:rPr>
        <w:t xml:space="preserve">The collapsible panel in the lower-left corner gives you two kinds of control:</w:t>
      </w:r>
    </w:p>
    <w:p>
      <w:pPr>
        <w:spacing w:before="200" w:after="80"/>
      </w:pPr>
      <w:r>
        <w:rPr>
          <w:rFonts w:ascii="Arial" w:cs="Arial" w:eastAsia="Arial" w:hAnsi="Arial"/>
          <w:b/>
          <w:bCs/>
          <w:color w:val="1F3864"/>
          <w:sz w:val="22"/>
          <w:szCs w:val="22"/>
        </w:rPr>
        <w:t xml:space="preserve">By Discipline (colored dots)</w:t>
      </w:r>
    </w:p>
    <w:p>
      <w:pPr>
        <w:spacing w:before="0" w:after="140"/>
      </w:pPr>
      <w:r>
        <w:rPr>
          <w:rFonts w:ascii="Arial" w:cs="Arial" w:eastAsia="Arial" w:hAnsi="Arial"/>
          <w:color w:val="2C3E50"/>
          <w:sz w:val="22"/>
          <w:szCs w:val="22"/>
        </w:rPr>
        <w:t xml:space="preserve">Click or tap any colored circle to hide or show that entire discipline. Dimmed items are hidden from the galaxy. Tap again to restore them. This is useful for focusing on one college's work, or for comparing the scale of different fields.</w:t>
      </w:r>
    </w:p>
    <w:p>
      <w:pPr>
        <w:spacing w:before="200" w:after="80"/>
      </w:pPr>
      <w:r>
        <w:rPr>
          <w:rFonts w:ascii="Arial" w:cs="Arial" w:eastAsia="Arial" w:hAnsi="Arial"/>
          <w:b/>
          <w:bCs/>
          <w:color w:val="1F3864"/>
          <w:sz w:val="22"/>
          <w:szCs w:val="22"/>
        </w:rPr>
        <w:t xml:space="preserve">By Category (checkbox chips)</w:t>
      </w:r>
    </w:p>
    <w:p>
      <w:pPr>
        <w:spacing w:before="0" w:after="140"/>
      </w:pPr>
      <w:r>
        <w:rPr>
          <w:rFonts w:ascii="Arial" w:cs="Arial" w:eastAsia="Arial" w:hAnsi="Arial"/>
          <w:color w:val="2C3E50"/>
          <w:sz w:val="22"/>
          <w:szCs w:val="22"/>
        </w:rPr>
        <w:t xml:space="preserve">Below the discipline filters, you will find checkboxes for each type of scholarly work. Use these to isolate, for example, only Grant Awards, or only Performances and Exhibits. You can combine these with discipline filters to answer questions like "What are the Arts &amp; Humanities faculty publishing this year?"</w:t>
      </w:r>
    </w:p>
    <w:p>
      <w:pPr>
        <w:spacing w:before="200" w:after="80"/>
      </w:pPr>
      <w:r>
        <w:rPr>
          <w:rFonts w:ascii="Arial" w:cs="Arial" w:eastAsia="Arial" w:hAnsi="Arial"/>
          <w:b/>
          <w:bCs/>
          <w:color w:val="1F3864"/>
          <w:sz w:val="22"/>
          <w:szCs w:val="22"/>
        </w:rPr>
        <w:t xml:space="preserve">Open Access Filter</w:t>
      </w:r>
    </w:p>
    <w:p>
      <w:pPr>
        <w:spacing w:before="0" w:after="140"/>
      </w:pPr>
      <w:r>
        <w:rPr>
          <w:rFonts w:ascii="Arial" w:cs="Arial" w:eastAsia="Arial" w:hAnsi="Arial"/>
          <w:color w:val="2C3E50"/>
          <w:sz w:val="22"/>
          <w:szCs w:val="22"/>
        </w:rPr>
        <w:t xml:space="preserve">The Open Access button in the toolbar (marked with a gold dot) filters the galaxy to show only works whose full text is freely available online, verified live through the Unpaywall database. Gold stars are open access. The count in the button updates as the system checks each article.</w:t>
      </w:r>
    </w:p>
    <w:p>
      <w:pPr>
        <w:pBdr>
          <w:bottom w:val="single" w:color="00843D" w:sz="8" w:space="1"/>
        </w:pBdr>
        <w:spacing w:before="200" w:after="200"/>
      </w:pPr>
    </w:p>
    <w:p>
      <w:pPr>
        <w:pStyle w:val="Heading1"/>
        <w:spacing w:before="360" w:after="160"/>
      </w:pPr>
      <w:r>
        <w:rPr>
          <w:rFonts w:ascii="Arial" w:cs="Arial" w:eastAsia="Arial" w:hAnsi="Arial"/>
          <w:b/>
          <w:bCs/>
          <w:color w:val="1F3864"/>
          <w:sz w:val="40"/>
          <w:szCs w:val="40"/>
        </w:rPr>
        <w:t xml:space="preserve">The Citation Panel</w:t>
      </w:r>
    </w:p>
    <w:p>
      <w:pPr>
        <w:spacing w:before="0" w:after="140"/>
      </w:pPr>
      <w:r>
        <w:rPr>
          <w:rFonts w:ascii="Arial" w:cs="Arial" w:eastAsia="Arial" w:hAnsi="Arial"/>
          <w:color w:val="2C3E50"/>
          <w:sz w:val="22"/>
          <w:szCs w:val="22"/>
        </w:rPr>
        <w:t xml:space="preserve">When you tap or click a star, a panel slides open on the right side of the screen. It contains:</w:t>
      </w:r>
    </w:p>
    <w:p>
      <w:pPr>
        <w:pStyle w:val="ListParagraph"/>
        <w:numPr>
          <w:ilvl w:val="0"/>
          <w:numId w:val="2"/>
        </w:numPr>
        <w:spacing w:before="30" w:after="80"/>
      </w:pPr>
      <w:r>
        <w:rPr>
          <w:rFonts w:ascii="Arial" w:cs="Arial" w:eastAsia="Arial" w:hAnsi="Arial"/>
          <w:color w:val="2C3E50"/>
          <w:sz w:val="22"/>
          <w:szCs w:val="22"/>
        </w:rPr>
        <w:t xml:space="preserve">The full title of the work</w:t>
      </w:r>
    </w:p>
    <w:p>
      <w:pPr>
        <w:pStyle w:val="ListParagraph"/>
        <w:numPr>
          <w:ilvl w:val="0"/>
          <w:numId w:val="2"/>
        </w:numPr>
        <w:spacing w:before="30" w:after="80"/>
      </w:pPr>
      <w:r>
        <w:rPr>
          <w:rFonts w:ascii="Arial" w:cs="Arial" w:eastAsia="Arial" w:hAnsi="Arial"/>
          <w:color w:val="2C3E50"/>
          <w:sz w:val="22"/>
          <w:szCs w:val="22"/>
        </w:rPr>
        <w:t xml:space="preserve">The faculty member's name, department, and college</w:t>
      </w:r>
    </w:p>
    <w:p>
      <w:pPr>
        <w:pStyle w:val="ListParagraph"/>
        <w:numPr>
          <w:ilvl w:val="0"/>
          <w:numId w:val="2"/>
        </w:numPr>
        <w:spacing w:before="30" w:after="80"/>
      </w:pPr>
      <w:r>
        <w:rPr>
          <w:rFonts w:ascii="Arial" w:cs="Arial" w:eastAsia="Arial" w:hAnsi="Arial"/>
          <w:color w:val="2C3E50"/>
          <w:sz w:val="22"/>
          <w:szCs w:val="22"/>
        </w:rPr>
        <w:t xml:space="preserve">A complete formatted citation</w:t>
      </w:r>
    </w:p>
    <w:p>
      <w:pPr>
        <w:pStyle w:val="ListParagraph"/>
        <w:numPr>
          <w:ilvl w:val="0"/>
          <w:numId w:val="2"/>
        </w:numPr>
        <w:spacing w:before="30" w:after="80"/>
      </w:pPr>
      <w:r>
        <w:rPr>
          <w:rFonts w:ascii="Arial" w:cs="Arial" w:eastAsia="Arial" w:hAnsi="Arial"/>
          <w:color w:val="2C3E50"/>
          <w:sz w:val="22"/>
          <w:szCs w:val="22"/>
        </w:rPr>
        <w:t xml:space="preserve">A link to view the work via its DOI (for publications with a Digital Object Identifier)</w:t>
      </w:r>
    </w:p>
    <w:p>
      <w:pPr>
        <w:pStyle w:val="ListParagraph"/>
        <w:numPr>
          <w:ilvl w:val="0"/>
          <w:numId w:val="2"/>
        </w:numPr>
        <w:spacing w:before="30" w:after="80"/>
      </w:pPr>
      <w:r>
        <w:rPr>
          <w:rFonts w:ascii="Arial" w:cs="Arial" w:eastAsia="Arial" w:hAnsi="Arial"/>
          <w:color w:val="2C3E50"/>
          <w:sz w:val="22"/>
          <w:szCs w:val="22"/>
        </w:rPr>
        <w:t xml:space="preserve">A direct link to the free full text, if the work is open access</w:t>
      </w:r>
    </w:p>
    <w:p>
      <w:pPr>
        <w:pStyle w:val="ListParagraph"/>
        <w:numPr>
          <w:ilvl w:val="0"/>
          <w:numId w:val="2"/>
        </w:numPr>
        <w:spacing w:before="30" w:after="80"/>
      </w:pPr>
      <w:r>
        <w:rPr>
          <w:rFonts w:ascii="Arial" w:cs="Arial" w:eastAsia="Arial" w:hAnsi="Arial"/>
          <w:color w:val="2C3E50"/>
          <w:sz w:val="22"/>
          <w:szCs w:val="22"/>
        </w:rPr>
        <w:t xml:space="preserve">A link to news coverage if the work was featured in UND Today or regional media</w:t>
      </w:r>
    </w:p>
    <w:p>
      <w:pPr>
        <w:pStyle w:val="ListParagraph"/>
        <w:numPr>
          <w:ilvl w:val="0"/>
          <w:numId w:val="2"/>
        </w:numPr>
        <w:spacing w:before="30" w:after="80"/>
      </w:pPr>
      <w:r>
        <w:rPr>
          <w:rFonts w:ascii="Arial" w:cs="Arial" w:eastAsia="Arial" w:hAnsi="Arial"/>
          <w:color w:val="2C3E50"/>
          <w:sz w:val="22"/>
          <w:szCs w:val="22"/>
        </w:rPr>
        <w:t xml:space="preserve">A note showing how many works this author contributed in 2025, and the invitation to see their constellation</w:t>
      </w:r>
    </w:p>
    <w:p>
      <w:pPr>
        <w:spacing w:before="0" w:after="60"/>
      </w:pPr>
      <w:r>
        <w:t xml:space="preserve"/>
      </w:r>
    </w:p>
    <w:p>
      <w:pPr>
        <w:spacing w:before="0" w:after="140"/>
      </w:pPr>
      <w:r>
        <w:rPr>
          <w:rFonts w:ascii="Arial" w:cs="Arial" w:eastAsia="Arial" w:hAnsi="Arial"/>
          <w:color w:val="2C3E50"/>
          <w:sz w:val="22"/>
          <w:szCs w:val="22"/>
        </w:rPr>
        <w:t xml:space="preserve">The panel closes automatically after 8 seconds of no interaction, or you can close it immediately by tapping the × button or pressing Escape.</w:t>
      </w:r>
    </w:p>
    <w:p>
      <w:pPr>
        <w:spacing w:before="0" w:after="140"/>
      </w:pPr>
      <w:r>
        <w:rPr>
          <w:rFonts w:ascii="Arial" w:cs="Arial" w:eastAsia="Arial" w:hAnsi="Arial"/>
          <w:color w:val="2C3E50"/>
          <w:sz w:val="22"/>
          <w:szCs w:val="22"/>
        </w:rPr>
        <w:t xml:space="preserve">After 30 seconds of no interaction anywhere on the screen, the galaxy gently returns to its full overview — ready for the next visitor.</w:t>
      </w:r>
    </w:p>
    <w:p>
      <w:pPr>
        <w:pBdr>
          <w:bottom w:val="single" w:color="00843D" w:sz="8" w:space="1"/>
        </w:pBdr>
        <w:spacing w:before="200" w:after="200"/>
      </w:pPr>
    </w:p>
    <w:p>
      <w:pPr>
        <w:pStyle w:val="Heading1"/>
        <w:spacing w:before="360" w:after="160"/>
      </w:pPr>
      <w:r>
        <w:rPr>
          <w:rFonts w:ascii="Arial" w:cs="Arial" w:eastAsia="Arial" w:hAnsi="Arial"/>
          <w:b/>
          <w:bCs/>
          <w:color w:val="1F3864"/>
          <w:sz w:val="40"/>
          <w:szCs w:val="40"/>
        </w:rPr>
        <w:t xml:space="preserve">About the Data</w:t>
      </w:r>
    </w:p>
    <w:p>
      <w:pPr>
        <w:spacing w:before="0" w:after="140"/>
      </w:pPr>
      <w:r>
        <w:rPr>
          <w:rFonts w:ascii="Arial" w:cs="Arial" w:eastAsia="Arial" w:hAnsi="Arial"/>
          <w:color w:val="2C3E50"/>
          <w:sz w:val="22"/>
          <w:szCs w:val="22"/>
        </w:rPr>
        <w:t xml:space="preserve">All data was reported by UND faculty through Faculty Success, the University's official system for tracking scholarly activity. The dataset reflects activity recorded in 2025.</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none"/>
              <w:left w:val="none"/>
              <w:bottom w:val="none"/>
              <w:right w:val="single" w:color="FFFFFF" w:sz="4"/>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Category</w:t>
            </w:r>
          </w:p>
        </w:tc>
        <w:tc>
          <w:tcPr>
            <w:tcW w:type="dxa" w:w="3960"/>
            <w:tcBorders>
              <w:top w:val="none"/>
              <w:left w:val="none"/>
              <w:bottom w:val="none"/>
              <w:right w:val="none"/>
            </w:tcBorders>
            <w:shd w:fill="1F3864" w:val="clear"/>
            <w:tcMar>
              <w:top w:type="dxa" w:w="80"/>
              <w:left w:type="dxa" w:w="160"/>
              <w:bottom w:type="dxa" w:w="80"/>
              <w:right w:type="dxa" w:w="120"/>
            </w:tcMar>
          </w:tcPr>
          <w:p>
            <w:pPr>
              <w:jc w:val="right"/>
            </w:pPr>
            <w:r>
              <w:rPr>
                <w:rFonts w:ascii="Arial" w:cs="Arial" w:eastAsia="Arial" w:hAnsi="Arial"/>
                <w:b/>
                <w:bCs/>
                <w:color w:val="FFFFFF"/>
                <w:sz w:val="22"/>
                <w:szCs w:val="22"/>
              </w:rPr>
              <w:t xml:space="preserve">2025 Works</w:t>
            </w:r>
          </w:p>
        </w:tc>
      </w:tr>
      <w:tr>
        <w:tc>
          <w:tcPr>
            <w:tcW w:type="dxa" w:w="5400"/>
            <w:tcBorders>
              <w:top w:val="none"/>
              <w:left w:val="none"/>
              <w:bottom w:val="single" w:color="DDDDDD" w:sz="2"/>
              <w:right w:val="single" w:color="DDDDDD" w:sz="2"/>
            </w:tcBorders>
            <w:shd w:fill="D6E8F7" w:val="clear"/>
            <w:tcMar>
              <w:top w:type="dxa" w:w="80"/>
              <w:left w:type="dxa" w:w="160"/>
              <w:bottom w:type="dxa" w:w="80"/>
              <w:right w:type="dxa" w:w="120"/>
            </w:tcMar>
          </w:tcPr>
          <w:p>
            <w:r>
              <w:rPr>
                <w:rFonts w:ascii="Arial" w:cs="Arial" w:eastAsia="Arial" w:hAnsi="Arial"/>
                <w:color w:val="2C3E50"/>
                <w:sz w:val="20"/>
                <w:szCs w:val="20"/>
              </w:rPr>
              <w:t xml:space="preserve">Publications (journal articles, books, chapters, proceedings)</w:t>
            </w:r>
          </w:p>
        </w:tc>
        <w:tc>
          <w:tcPr>
            <w:tcW w:type="dxa" w:w="3960"/>
            <w:tcBorders>
              <w:top w:val="none"/>
              <w:left w:val="none"/>
              <w:bottom w:val="single" w:color="DDDDDD" w:sz="2"/>
              <w:right w:val="none"/>
            </w:tcBorders>
            <w:shd w:fill="D6E8F7" w:val="clear"/>
            <w:tcMar>
              <w:top w:type="dxa" w:w="80"/>
              <w:left w:type="dxa" w:w="160"/>
              <w:bottom w:type="dxa" w:w="80"/>
              <w:right w:type="dxa" w:w="120"/>
            </w:tcMar>
          </w:tcPr>
          <w:p>
            <w:pPr>
              <w:jc w:val="right"/>
            </w:pPr>
            <w:r>
              <w:rPr>
                <w:rFonts w:ascii="Arial" w:cs="Arial" w:eastAsia="Arial" w:hAnsi="Arial"/>
                <w:b/>
                <w:bCs/>
                <w:color w:val="1F3864"/>
                <w:sz w:val="20"/>
                <w:szCs w:val="20"/>
              </w:rPr>
              <w:t xml:space="preserve">885</w:t>
            </w:r>
          </w:p>
        </w:tc>
      </w:tr>
      <w:tr>
        <w:tc>
          <w:tcPr>
            <w:tcW w:type="dxa" w:w="5400"/>
            <w:tcBorders>
              <w:top w:val="none"/>
              <w:left w:val="none"/>
              <w:bottom w:val="single" w:color="DDDDDD" w:sz="2"/>
              <w:right w:val="single" w:color="DDDDDD" w:sz="2"/>
            </w:tcBorders>
            <w:shd w:fill="FFFFFF" w:val="clear"/>
            <w:tcMar>
              <w:top w:type="dxa" w:w="80"/>
              <w:left w:type="dxa" w:w="160"/>
              <w:bottom w:type="dxa" w:w="80"/>
              <w:right w:type="dxa" w:w="120"/>
            </w:tcMar>
          </w:tcPr>
          <w:p>
            <w:r>
              <w:rPr>
                <w:rFonts w:ascii="Arial" w:cs="Arial" w:eastAsia="Arial" w:hAnsi="Arial"/>
                <w:color w:val="2C3E50"/>
                <w:sz w:val="20"/>
                <w:szCs w:val="20"/>
              </w:rPr>
              <w:t xml:space="preserve">Presentations (conferences, keynotes, lectures, posters)</w:t>
            </w:r>
          </w:p>
        </w:tc>
        <w:tc>
          <w:tcPr>
            <w:tcW w:type="dxa" w:w="3960"/>
            <w:tcBorders>
              <w:top w:val="none"/>
              <w:left w:val="none"/>
              <w:bottom w:val="single" w:color="DDDDDD" w:sz="2"/>
              <w:right w:val="none"/>
            </w:tcBorders>
            <w:shd w:fill="FFFFFF" w:val="clear"/>
            <w:tcMar>
              <w:top w:type="dxa" w:w="80"/>
              <w:left w:type="dxa" w:w="160"/>
              <w:bottom w:type="dxa" w:w="80"/>
              <w:right w:type="dxa" w:w="120"/>
            </w:tcMar>
          </w:tcPr>
          <w:p>
            <w:pPr>
              <w:jc w:val="right"/>
            </w:pPr>
            <w:r>
              <w:rPr>
                <w:rFonts w:ascii="Arial" w:cs="Arial" w:eastAsia="Arial" w:hAnsi="Arial"/>
                <w:b/>
                <w:bCs/>
                <w:color w:val="1F3864"/>
                <w:sz w:val="20"/>
                <w:szCs w:val="20"/>
              </w:rPr>
              <w:t xml:space="preserve">794</w:t>
            </w:r>
          </w:p>
        </w:tc>
      </w:tr>
      <w:tr>
        <w:tc>
          <w:tcPr>
            <w:tcW w:type="dxa" w:w="5400"/>
            <w:tcBorders>
              <w:top w:val="none"/>
              <w:left w:val="none"/>
              <w:bottom w:val="single" w:color="DDDDDD" w:sz="2"/>
              <w:right w:val="single" w:color="DDDDDD" w:sz="2"/>
            </w:tcBorders>
            <w:shd w:fill="D6E8F7" w:val="clear"/>
            <w:tcMar>
              <w:top w:type="dxa" w:w="80"/>
              <w:left w:type="dxa" w:w="160"/>
              <w:bottom w:type="dxa" w:w="80"/>
              <w:right w:type="dxa" w:w="120"/>
            </w:tcMar>
          </w:tcPr>
          <w:p>
            <w:r>
              <w:rPr>
                <w:rFonts w:ascii="Arial" w:cs="Arial" w:eastAsia="Arial" w:hAnsi="Arial"/>
                <w:color w:val="2C3E50"/>
                <w:sz w:val="20"/>
                <w:szCs w:val="20"/>
              </w:rPr>
              <w:t xml:space="preserve">Grants &amp; Contracts (awarded, active, and pending)</w:t>
            </w:r>
          </w:p>
        </w:tc>
        <w:tc>
          <w:tcPr>
            <w:tcW w:type="dxa" w:w="3960"/>
            <w:tcBorders>
              <w:top w:val="none"/>
              <w:left w:val="none"/>
              <w:bottom w:val="single" w:color="DDDDDD" w:sz="2"/>
              <w:right w:val="none"/>
            </w:tcBorders>
            <w:shd w:fill="D6E8F7" w:val="clear"/>
            <w:tcMar>
              <w:top w:type="dxa" w:w="80"/>
              <w:left w:type="dxa" w:w="160"/>
              <w:bottom w:type="dxa" w:w="80"/>
              <w:right w:type="dxa" w:w="120"/>
            </w:tcMar>
          </w:tcPr>
          <w:p>
            <w:pPr>
              <w:jc w:val="right"/>
            </w:pPr>
            <w:r>
              <w:rPr>
                <w:rFonts w:ascii="Arial" w:cs="Arial" w:eastAsia="Arial" w:hAnsi="Arial"/>
                <w:b/>
                <w:bCs/>
                <w:color w:val="1F3864"/>
                <w:sz w:val="20"/>
                <w:szCs w:val="20"/>
              </w:rPr>
              <w:t xml:space="preserve">600</w:t>
            </w:r>
          </w:p>
        </w:tc>
      </w:tr>
      <w:tr>
        <w:tc>
          <w:tcPr>
            <w:tcW w:type="dxa" w:w="5400"/>
            <w:tcBorders>
              <w:top w:val="none"/>
              <w:left w:val="none"/>
              <w:bottom w:val="single" w:color="DDDDDD" w:sz="2"/>
              <w:right w:val="single" w:color="DDDDDD" w:sz="2"/>
            </w:tcBorders>
            <w:shd w:fill="FFFFFF" w:val="clear"/>
            <w:tcMar>
              <w:top w:type="dxa" w:w="80"/>
              <w:left w:type="dxa" w:w="160"/>
              <w:bottom w:type="dxa" w:w="80"/>
              <w:right w:type="dxa" w:w="120"/>
            </w:tcMar>
          </w:tcPr>
          <w:p>
            <w:r>
              <w:rPr>
                <w:rFonts w:ascii="Arial" w:cs="Arial" w:eastAsia="Arial" w:hAnsi="Arial"/>
                <w:color w:val="2C3E50"/>
                <w:sz w:val="20"/>
                <w:szCs w:val="20"/>
              </w:rPr>
              <w:t xml:space="preserve">Performances &amp; Exhibits (music, art, theatre, dance)</w:t>
            </w:r>
          </w:p>
        </w:tc>
        <w:tc>
          <w:tcPr>
            <w:tcW w:type="dxa" w:w="3960"/>
            <w:tcBorders>
              <w:top w:val="none"/>
              <w:left w:val="none"/>
              <w:bottom w:val="single" w:color="DDDDDD" w:sz="2"/>
              <w:right w:val="none"/>
            </w:tcBorders>
            <w:shd w:fill="FFFFFF" w:val="clear"/>
            <w:tcMar>
              <w:top w:type="dxa" w:w="80"/>
              <w:left w:type="dxa" w:w="160"/>
              <w:bottom w:type="dxa" w:w="80"/>
              <w:right w:type="dxa" w:w="120"/>
            </w:tcMar>
          </w:tcPr>
          <w:p>
            <w:pPr>
              <w:jc w:val="right"/>
            </w:pPr>
            <w:r>
              <w:rPr>
                <w:rFonts w:ascii="Arial" w:cs="Arial" w:eastAsia="Arial" w:hAnsi="Arial"/>
                <w:b/>
                <w:bCs/>
                <w:color w:val="1F3864"/>
                <w:sz w:val="20"/>
                <w:szCs w:val="20"/>
              </w:rPr>
              <w:t xml:space="preserve">252</w:t>
            </w:r>
          </w:p>
        </w:tc>
      </w:tr>
      <w:tr>
        <w:tc>
          <w:tcPr>
            <w:tcW w:type="dxa" w:w="5400"/>
            <w:tcBorders>
              <w:top w:val="none"/>
              <w:left w:val="none"/>
              <w:bottom w:val="single" w:color="DDDDDD" w:sz="2"/>
              <w:right w:val="single" w:color="DDDDDD" w:sz="2"/>
            </w:tcBorders>
            <w:shd w:fill="D6E8F7" w:val="clear"/>
            <w:tcMar>
              <w:top w:type="dxa" w:w="80"/>
              <w:left w:type="dxa" w:w="160"/>
              <w:bottom w:type="dxa" w:w="80"/>
              <w:right w:type="dxa" w:w="120"/>
            </w:tcMar>
          </w:tcPr>
          <w:p>
            <w:r>
              <w:rPr>
                <w:rFonts w:ascii="Arial" w:cs="Arial" w:eastAsia="Arial" w:hAnsi="Arial"/>
                <w:color w:val="2C3E50"/>
                <w:sz w:val="20"/>
                <w:szCs w:val="20"/>
              </w:rPr>
              <w:t xml:space="preserve">Awards &amp; Honors</w:t>
            </w:r>
          </w:p>
        </w:tc>
        <w:tc>
          <w:tcPr>
            <w:tcW w:type="dxa" w:w="3960"/>
            <w:tcBorders>
              <w:top w:val="none"/>
              <w:left w:val="none"/>
              <w:bottom w:val="single" w:color="DDDDDD" w:sz="2"/>
              <w:right w:val="none"/>
            </w:tcBorders>
            <w:shd w:fill="D6E8F7" w:val="clear"/>
            <w:tcMar>
              <w:top w:type="dxa" w:w="80"/>
              <w:left w:type="dxa" w:w="160"/>
              <w:bottom w:type="dxa" w:w="80"/>
              <w:right w:type="dxa" w:w="120"/>
            </w:tcMar>
          </w:tcPr>
          <w:p>
            <w:pPr>
              <w:jc w:val="right"/>
            </w:pPr>
            <w:r>
              <w:rPr>
                <w:rFonts w:ascii="Arial" w:cs="Arial" w:eastAsia="Arial" w:hAnsi="Arial"/>
                <w:b/>
                <w:bCs/>
                <w:color w:val="1F3864"/>
                <w:sz w:val="20"/>
                <w:szCs w:val="20"/>
              </w:rPr>
              <w:t xml:space="preserve">98</w:t>
            </w:r>
          </w:p>
        </w:tc>
      </w:tr>
      <w:tr>
        <w:tc>
          <w:tcPr>
            <w:tcW w:type="dxa" w:w="5400"/>
            <w:tcBorders>
              <w:top w:val="none"/>
              <w:left w:val="none"/>
              <w:bottom w:val="single" w:color="DDDDDD" w:sz="2"/>
              <w:right w:val="single" w:color="DDDDDD" w:sz="2"/>
            </w:tcBorders>
            <w:shd w:fill="FFFFFF" w:val="clear"/>
            <w:tcMar>
              <w:top w:type="dxa" w:w="80"/>
              <w:left w:type="dxa" w:w="160"/>
              <w:bottom w:type="dxa" w:w="80"/>
              <w:right w:type="dxa" w:w="120"/>
            </w:tcMar>
          </w:tcPr>
          <w:p>
            <w:r>
              <w:rPr>
                <w:rFonts w:ascii="Arial" w:cs="Arial" w:eastAsia="Arial" w:hAnsi="Arial"/>
                <w:color w:val="2C3E50"/>
                <w:sz w:val="20"/>
                <w:szCs w:val="20"/>
              </w:rPr>
              <w:t xml:space="preserve">Research Programs</w:t>
            </w:r>
          </w:p>
        </w:tc>
        <w:tc>
          <w:tcPr>
            <w:tcW w:type="dxa" w:w="3960"/>
            <w:tcBorders>
              <w:top w:val="none"/>
              <w:left w:val="none"/>
              <w:bottom w:val="single" w:color="DDDDDD" w:sz="2"/>
              <w:right w:val="none"/>
            </w:tcBorders>
            <w:shd w:fill="FFFFFF" w:val="clear"/>
            <w:tcMar>
              <w:top w:type="dxa" w:w="80"/>
              <w:left w:type="dxa" w:w="160"/>
              <w:bottom w:type="dxa" w:w="80"/>
              <w:right w:type="dxa" w:w="120"/>
            </w:tcMar>
          </w:tcPr>
          <w:p>
            <w:pPr>
              <w:jc w:val="right"/>
            </w:pPr>
            <w:r>
              <w:rPr>
                <w:rFonts w:ascii="Arial" w:cs="Arial" w:eastAsia="Arial" w:hAnsi="Arial"/>
                <w:b/>
                <w:bCs/>
                <w:color w:val="1F3864"/>
                <w:sz w:val="20"/>
                <w:szCs w:val="20"/>
              </w:rPr>
              <w:t xml:space="preserve">2</w:t>
            </w:r>
          </w:p>
        </w:tc>
      </w:tr>
      <w:tr>
        <w:tc>
          <w:tcPr>
            <w:tcW w:type="dxa" w:w="5400"/>
            <w:tcBorders>
              <w:top w:val="none"/>
              <w:left w:val="none"/>
              <w:bottom w:val="none"/>
              <w:right w:val="single" w:color="FFFFFF" w:sz="4"/>
            </w:tcBorders>
            <w:shd w:fill="00843D" w:val="clear"/>
            <w:tcMar>
              <w:top w:type="dxa" w:w="100"/>
              <w:left w:type="dxa" w:w="160"/>
              <w:bottom w:type="dxa" w:w="100"/>
              <w:right w:type="dxa" w:w="120"/>
            </w:tcMar>
          </w:tcPr>
          <w:p>
            <w:r>
              <w:rPr>
                <w:rFonts w:ascii="Arial" w:cs="Arial" w:eastAsia="Arial" w:hAnsi="Arial"/>
                <w:b/>
                <w:bCs/>
                <w:color w:val="FFFFFF"/>
                <w:sz w:val="22"/>
                <w:szCs w:val="22"/>
              </w:rPr>
              <w:t xml:space="preserve">TOTAL WORKS IN THE GALAXY</w:t>
            </w:r>
          </w:p>
        </w:tc>
        <w:tc>
          <w:tcPr>
            <w:tcW w:type="dxa" w:w="3960"/>
            <w:tcBorders>
              <w:top w:val="none"/>
              <w:left w:val="none"/>
              <w:bottom w:val="none"/>
              <w:right w:val="none"/>
            </w:tcBorders>
            <w:shd w:fill="00843D" w:val="clear"/>
            <w:tcMar>
              <w:top w:type="dxa" w:w="100"/>
              <w:left w:type="dxa" w:w="160"/>
              <w:bottom w:type="dxa" w:w="100"/>
              <w:right w:type="dxa" w:w="120"/>
            </w:tcMar>
          </w:tcPr>
          <w:p>
            <w:pPr>
              <w:jc w:val="right"/>
            </w:pPr>
            <w:r>
              <w:rPr>
                <w:rFonts w:ascii="Arial" w:cs="Arial" w:eastAsia="Arial" w:hAnsi="Arial"/>
                <w:b/>
                <w:bCs/>
                <w:color w:val="FFFFFF"/>
                <w:sz w:val="22"/>
                <w:szCs w:val="22"/>
              </w:rPr>
              <w:t xml:space="preserve">2,402</w:t>
            </w:r>
          </w:p>
        </w:tc>
      </w:tr>
    </w:tbl>
    <w:p>
      <w:pPr>
        <w:spacing w:before="0" w:after="200"/>
      </w:pPr>
      <w:r>
        <w:t xml:space="preserve"/>
      </w:r>
    </w:p>
    <w:p>
      <w:pPr>
        <w:pBdr>
          <w:bottom w:val="single" w:color="00843D" w:sz="8" w:space="1"/>
        </w:pBdr>
        <w:spacing w:before="200" w:after="200"/>
      </w:pPr>
    </w:p>
    <w:p>
      <w:pPr>
        <w:spacing w:before="60" w:after="60"/>
        <w:jc w:val="center"/>
      </w:pPr>
      <w:r>
        <w:rPr>
          <w:rFonts w:ascii="Arial" w:cs="Arial" w:eastAsia="Arial" w:hAnsi="Arial"/>
          <w:b w:val="false"/>
          <w:bCs w:val="false"/>
          <w:color w:val="4A7A9B"/>
          <w:sz w:val="20"/>
          <w:szCs w:val="20"/>
        </w:rPr>
        <w:t xml:space="preserve">University of North Dakota  ·  College of Arts &amp; Sciences  ·  2025</w:t>
      </w:r>
    </w:p>
    <w:p>
      <w:pPr>
        <w:spacing w:before="60" w:after="60"/>
        <w:jc w:val="center"/>
      </w:pPr>
      <w:r>
        <w:rPr>
          <w:rFonts w:ascii="Arial" w:cs="Arial" w:eastAsia="Arial" w:hAnsi="Arial"/>
          <w:b w:val="false"/>
          <w:bCs w:val="false"/>
          <w:color w:val="6A8AAA"/>
          <w:sz w:val="18"/>
          <w:szCs w:val="18"/>
        </w:rPr>
        <w:t xml:space="preserve">Data source: Faculty Success  ·  Visualization created March 2026</w:t>
      </w:r>
    </w:p>
    <w:p>
      <w:pPr>
        <w:spacing w:before="0" w:after="80"/>
      </w:pPr>
      <w:r>
        <w:t xml:space="preserve"/>
      </w:r>
    </w:p>
    <w:p>
      <w:pPr>
        <w:spacing w:before="0" w:after="0"/>
        <w:jc w:val="center"/>
      </w:pPr>
      <w:r>
        <w:rPr>
          <w:rFonts w:ascii="Arial" w:cs="Arial" w:eastAsia="Arial" w:hAnsi="Arial"/>
          <w:color w:val="FFD060"/>
          <w:sz w:val="28"/>
          <w:szCs w:val="28"/>
        </w:rPr>
        <w:t xml:space="preserve">✦  </w:t>
      </w:r>
      <w:r>
        <w:rPr>
          <w:rFonts w:ascii="Arial" w:cs="Arial" w:eastAsia="Arial" w:hAnsi="Arial"/>
          <w:b/>
          <w:bCs/>
          <w:i/>
          <w:iCs/>
          <w:color w:val="1F3864"/>
          <w:sz w:val="24"/>
          <w:szCs w:val="24"/>
        </w:rPr>
        <w:t xml:space="preserve">Every star is a story. Every story matters.</w:t>
      </w:r>
      <w:r>
        <w:rPr>
          <w:rFonts w:ascii="Arial" w:cs="Arial" w:eastAsia="Arial" w:hAnsi="Arial"/>
          <w:color w:val="FFD060"/>
          <w:sz w:val="28"/>
          <w:szCs w:val="28"/>
        </w:rPr>
        <w:t xml:space="preserve">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0843D"/>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40"/>
      <w:szCs w:val="40"/>
    </w:rPr>
  </w:style>
  <w:style w:type="paragraph" w:styleId="Heading2">
    <w:name w:val="Heading 2"/>
    <w:basedOn w:val="Normal"/>
    <w:next w:val="Normal"/>
    <w:qFormat/>
    <w:pPr>
      <w:spacing w:before="260" w:after="1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2026-03-16T17:39:50.570Z</dcterms:created>
  <dcterms:modified xsi:type="dcterms:W3CDTF">2026-03-16T17:39:50.571Z</dcterms:modified>
</cp:coreProperties>
</file>

<file path=docProps/custom.xml><?xml version="1.0" encoding="utf-8"?>
<Properties xmlns="http://schemas.openxmlformats.org/officeDocument/2006/custom-properties" xmlns:vt="http://schemas.openxmlformats.org/officeDocument/2006/docPropsVTypes"/>
</file>