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AADA" w14:textId="77777777" w:rsidR="00ED5A0E" w:rsidRDefault="00000000">
      <w:pPr>
        <w:pStyle w:val="Title"/>
        <w:jc w:val="center"/>
      </w:pPr>
      <w:r>
        <w:t>Dataset 2: Stroop Incongruence &amp; Processing Time</w:t>
      </w:r>
    </w:p>
    <w:p w14:paraId="6EFF64C1" w14:textId="77777777" w:rsidR="00ED5A0E" w:rsidRPr="0097009E" w:rsidRDefault="00000000">
      <w:pPr>
        <w:pStyle w:val="Heading1"/>
        <w:spacing w:after="150"/>
        <w:rPr>
          <w:color w:val="000000" w:themeColor="text1"/>
        </w:rPr>
      </w:pPr>
      <w:r w:rsidRPr="0097009E">
        <w:rPr>
          <w:color w:val="000000" w:themeColor="text1"/>
        </w:rPr>
        <w:t>Scenario Overview</w:t>
      </w:r>
    </w:p>
    <w:p w14:paraId="56C93B85" w14:textId="77777777" w:rsidR="00ED5A0E" w:rsidRPr="0097009E" w:rsidRDefault="00000000">
      <w:pPr>
        <w:spacing w:after="200"/>
        <w:rPr>
          <w:color w:val="000000" w:themeColor="text1"/>
        </w:rPr>
      </w:pPr>
      <w:r w:rsidRPr="0097009E">
        <w:rPr>
          <w:color w:val="000000" w:themeColor="text1"/>
        </w:rPr>
        <w:t>Students completed a classic Stroop task in which they named the ink colour of printed words. Each student responded to congruent trials (word and ink match) and incongruent trials (word and ink conflict). Mean response time (</w:t>
      </w:r>
      <w:proofErr w:type="spellStart"/>
      <w:r w:rsidRPr="0097009E">
        <w:rPr>
          <w:color w:val="000000" w:themeColor="text1"/>
        </w:rPr>
        <w:t>ms</w:t>
      </w:r>
      <w:proofErr w:type="spellEnd"/>
      <w:r w:rsidRPr="0097009E">
        <w:rPr>
          <w:color w:val="000000" w:themeColor="text1"/>
        </w:rPr>
        <w:t>) is shown with SD error bars.</w:t>
      </w:r>
    </w:p>
    <w:p w14:paraId="00FD3D74" w14:textId="77777777" w:rsidR="00ED5A0E" w:rsidRPr="0097009E" w:rsidRDefault="00000000">
      <w:pPr>
        <w:pStyle w:val="Heading1"/>
        <w:spacing w:before="200" w:after="150"/>
        <w:rPr>
          <w:color w:val="000000" w:themeColor="text1"/>
        </w:rPr>
      </w:pPr>
      <w:r w:rsidRPr="0097009E">
        <w:rPr>
          <w:color w:val="000000" w:themeColor="text1"/>
        </w:rPr>
        <w:t>Data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8"/>
        <w:gridCol w:w="5542"/>
        <w:gridCol w:w="2386"/>
      </w:tblGrid>
      <w:tr w:rsidR="0097009E" w:rsidRPr="0097009E" w14:paraId="37BF5580" w14:textId="77777777">
        <w:tblPrEx>
          <w:tblCellMar>
            <w:top w:w="0" w:type="dxa"/>
            <w:bottom w:w="0" w:type="dxa"/>
          </w:tblCellMar>
        </w:tblPrEx>
        <w:tc>
          <w:tcPr>
            <w:tcW w:w="0" w:type="auto"/>
          </w:tcPr>
          <w:p w14:paraId="0E2B4058" w14:textId="77777777" w:rsidR="00ED5A0E" w:rsidRPr="0097009E" w:rsidRDefault="00000000">
            <w:pPr>
              <w:rPr>
                <w:color w:val="000000" w:themeColor="text1"/>
              </w:rPr>
            </w:pPr>
            <w:r w:rsidRPr="0097009E">
              <w:rPr>
                <w:b/>
                <w:bCs/>
                <w:color w:val="000000" w:themeColor="text1"/>
              </w:rPr>
              <w:t>Condition</w:t>
            </w:r>
          </w:p>
        </w:tc>
        <w:tc>
          <w:tcPr>
            <w:tcW w:w="0" w:type="auto"/>
          </w:tcPr>
          <w:p w14:paraId="2C502219" w14:textId="77777777" w:rsidR="00ED5A0E" w:rsidRPr="0097009E" w:rsidRDefault="00000000">
            <w:pPr>
              <w:rPr>
                <w:color w:val="000000" w:themeColor="text1"/>
              </w:rPr>
            </w:pPr>
            <w:r w:rsidRPr="0097009E">
              <w:rPr>
                <w:b/>
                <w:bCs/>
                <w:color w:val="000000" w:themeColor="text1"/>
              </w:rPr>
              <w:t>Mean response time (</w:t>
            </w:r>
            <w:proofErr w:type="spellStart"/>
            <w:r w:rsidRPr="0097009E">
              <w:rPr>
                <w:b/>
                <w:bCs/>
                <w:color w:val="000000" w:themeColor="text1"/>
              </w:rPr>
              <w:t>ms</w:t>
            </w:r>
            <w:proofErr w:type="spellEnd"/>
            <w:r w:rsidRPr="0097009E">
              <w:rPr>
                <w:b/>
                <w:bCs/>
                <w:color w:val="000000" w:themeColor="text1"/>
              </w:rPr>
              <w:t>)</w:t>
            </w:r>
          </w:p>
        </w:tc>
        <w:tc>
          <w:tcPr>
            <w:tcW w:w="0" w:type="auto"/>
          </w:tcPr>
          <w:p w14:paraId="1938EBEB" w14:textId="77777777" w:rsidR="00ED5A0E" w:rsidRPr="0097009E" w:rsidRDefault="00000000">
            <w:pPr>
              <w:rPr>
                <w:color w:val="000000" w:themeColor="text1"/>
              </w:rPr>
            </w:pPr>
            <w:r w:rsidRPr="0097009E">
              <w:rPr>
                <w:b/>
                <w:bCs/>
                <w:color w:val="000000" w:themeColor="text1"/>
              </w:rPr>
              <w:t>Error / SD</w:t>
            </w:r>
          </w:p>
        </w:tc>
      </w:tr>
      <w:tr w:rsidR="0097009E" w:rsidRPr="0097009E" w14:paraId="57ABEEAE" w14:textId="77777777">
        <w:tblPrEx>
          <w:tblCellMar>
            <w:top w:w="0" w:type="dxa"/>
            <w:bottom w:w="0" w:type="dxa"/>
          </w:tblCellMar>
        </w:tblPrEx>
        <w:tc>
          <w:tcPr>
            <w:tcW w:w="0" w:type="auto"/>
          </w:tcPr>
          <w:p w14:paraId="423FD765" w14:textId="77777777" w:rsidR="00ED5A0E" w:rsidRPr="0097009E" w:rsidRDefault="00000000">
            <w:pPr>
              <w:rPr>
                <w:color w:val="000000" w:themeColor="text1"/>
              </w:rPr>
            </w:pPr>
            <w:r w:rsidRPr="0097009E">
              <w:rPr>
                <w:color w:val="000000" w:themeColor="text1"/>
              </w:rPr>
              <w:t>Congruent</w:t>
            </w:r>
          </w:p>
        </w:tc>
        <w:tc>
          <w:tcPr>
            <w:tcW w:w="0" w:type="auto"/>
          </w:tcPr>
          <w:p w14:paraId="26370F4A" w14:textId="77777777" w:rsidR="00ED5A0E" w:rsidRPr="0097009E" w:rsidRDefault="00000000">
            <w:pPr>
              <w:rPr>
                <w:color w:val="000000" w:themeColor="text1"/>
              </w:rPr>
            </w:pPr>
            <w:r w:rsidRPr="0097009E">
              <w:rPr>
                <w:color w:val="000000" w:themeColor="text1"/>
              </w:rPr>
              <w:t>520</w:t>
            </w:r>
          </w:p>
        </w:tc>
        <w:tc>
          <w:tcPr>
            <w:tcW w:w="0" w:type="auto"/>
          </w:tcPr>
          <w:p w14:paraId="29525C4E" w14:textId="77777777" w:rsidR="00ED5A0E" w:rsidRPr="0097009E" w:rsidRDefault="00000000">
            <w:pPr>
              <w:rPr>
                <w:color w:val="000000" w:themeColor="text1"/>
              </w:rPr>
            </w:pPr>
            <w:r w:rsidRPr="0097009E">
              <w:rPr>
                <w:color w:val="000000" w:themeColor="text1"/>
              </w:rPr>
              <w:t>40</w:t>
            </w:r>
          </w:p>
        </w:tc>
      </w:tr>
      <w:tr w:rsidR="0097009E" w:rsidRPr="0097009E" w14:paraId="61132368" w14:textId="77777777">
        <w:tblPrEx>
          <w:tblCellMar>
            <w:top w:w="0" w:type="dxa"/>
            <w:bottom w:w="0" w:type="dxa"/>
          </w:tblCellMar>
        </w:tblPrEx>
        <w:tc>
          <w:tcPr>
            <w:tcW w:w="0" w:type="auto"/>
          </w:tcPr>
          <w:p w14:paraId="79F07AF3" w14:textId="77777777" w:rsidR="00ED5A0E" w:rsidRPr="0097009E" w:rsidRDefault="00000000">
            <w:pPr>
              <w:rPr>
                <w:color w:val="000000" w:themeColor="text1"/>
              </w:rPr>
            </w:pPr>
            <w:r w:rsidRPr="0097009E">
              <w:rPr>
                <w:color w:val="000000" w:themeColor="text1"/>
              </w:rPr>
              <w:t>Incongruent</w:t>
            </w:r>
          </w:p>
        </w:tc>
        <w:tc>
          <w:tcPr>
            <w:tcW w:w="0" w:type="auto"/>
          </w:tcPr>
          <w:p w14:paraId="19A9B224" w14:textId="77777777" w:rsidR="00ED5A0E" w:rsidRPr="0097009E" w:rsidRDefault="00000000">
            <w:pPr>
              <w:rPr>
                <w:color w:val="000000" w:themeColor="text1"/>
              </w:rPr>
            </w:pPr>
            <w:r w:rsidRPr="0097009E">
              <w:rPr>
                <w:color w:val="000000" w:themeColor="text1"/>
              </w:rPr>
              <w:t>640</w:t>
            </w:r>
          </w:p>
        </w:tc>
        <w:tc>
          <w:tcPr>
            <w:tcW w:w="0" w:type="auto"/>
          </w:tcPr>
          <w:p w14:paraId="1E23DE48" w14:textId="77777777" w:rsidR="00ED5A0E" w:rsidRPr="0097009E" w:rsidRDefault="00000000">
            <w:pPr>
              <w:rPr>
                <w:color w:val="000000" w:themeColor="text1"/>
              </w:rPr>
            </w:pPr>
            <w:r w:rsidRPr="0097009E">
              <w:rPr>
                <w:color w:val="000000" w:themeColor="text1"/>
              </w:rPr>
              <w:t>55</w:t>
            </w:r>
          </w:p>
        </w:tc>
      </w:tr>
    </w:tbl>
    <w:p w14:paraId="36422FEA" w14:textId="77777777" w:rsidR="00ED5A0E" w:rsidRPr="0097009E" w:rsidRDefault="00000000">
      <w:pPr>
        <w:pStyle w:val="Heading1"/>
        <w:spacing w:before="200" w:after="150"/>
        <w:rPr>
          <w:color w:val="000000" w:themeColor="text1"/>
        </w:rPr>
      </w:pPr>
      <w:r w:rsidRPr="0097009E">
        <w:rPr>
          <w:color w:val="000000" w:themeColor="text1"/>
        </w:rPr>
        <w:t>Figure</w:t>
      </w:r>
    </w:p>
    <w:p w14:paraId="2434E366" w14:textId="77777777" w:rsidR="00ED5A0E" w:rsidRDefault="00000000">
      <w:pPr>
        <w:spacing w:after="120"/>
      </w:pPr>
      <w:r>
        <w:rPr>
          <w:b/>
          <w:bCs/>
        </w:rPr>
        <w:t>Figure 1.</w:t>
      </w:r>
      <w:r>
        <w:rPr>
          <w:i/>
          <w:iCs/>
        </w:rPr>
        <w:t xml:space="preserve"> Mean response time (±SD) for congruent and incongruent Stroop trials.</w:t>
      </w:r>
    </w:p>
    <w:p w14:paraId="1C048D29" w14:textId="77777777" w:rsidR="00ED5A0E" w:rsidRDefault="00000000">
      <w:pPr>
        <w:jc w:val="center"/>
      </w:pPr>
      <w:r>
        <w:rPr>
          <w:noProof/>
        </w:rPr>
        <w:drawing>
          <wp:inline distT="0" distB="0" distL="0" distR="0" wp14:anchorId="5F388A2D" wp14:editId="1719BB17">
            <wp:extent cx="6096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619500"/>
                    </a:xfrm>
                    <a:prstGeom prst="rect">
                      <a:avLst/>
                    </a:prstGeom>
                  </pic:spPr>
                </pic:pic>
              </a:graphicData>
            </a:graphic>
          </wp:inline>
        </w:drawing>
      </w:r>
    </w:p>
    <w:p w14:paraId="75A80DD8" w14:textId="77777777" w:rsidR="00ED5A0E" w:rsidRPr="0097009E" w:rsidRDefault="00000000">
      <w:pPr>
        <w:pStyle w:val="Heading1"/>
        <w:spacing w:before="200" w:after="150"/>
        <w:rPr>
          <w:color w:val="000000" w:themeColor="text1"/>
        </w:rPr>
      </w:pPr>
      <w:r w:rsidRPr="0097009E">
        <w:rPr>
          <w:color w:val="000000" w:themeColor="text1"/>
        </w:rPr>
        <w:t>IA1 Practice Questions</w:t>
      </w:r>
    </w:p>
    <w:p w14:paraId="4B282143" w14:textId="02D6DF1B" w:rsidR="00ED5A0E" w:rsidRDefault="00A31A4D">
      <w:pPr>
        <w:pStyle w:val="ListParagraph"/>
        <w:numPr>
          <w:ilvl w:val="0"/>
          <w:numId w:val="2"/>
        </w:numPr>
        <w:spacing w:after="80"/>
      </w:pPr>
      <w:r>
        <w:t xml:space="preserve"> </w:t>
      </w:r>
      <w:r w:rsidR="00000000">
        <w:t>Calculate the size of the Stroop effect in milliseconds.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ED5A0E" w14:paraId="1A54F0CD"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5D90E2AD" w14:textId="77777777" w:rsidR="00ED5A0E" w:rsidRDefault="00000000">
            <w:pPr>
              <w:spacing w:after="120"/>
            </w:pPr>
            <w:r>
              <w:t xml:space="preserve"> </w:t>
            </w:r>
          </w:p>
        </w:tc>
      </w:tr>
      <w:tr w:rsidR="00ED5A0E" w14:paraId="5CCDD58D"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47A695CE" w14:textId="77777777" w:rsidR="00ED5A0E" w:rsidRDefault="00000000">
            <w:pPr>
              <w:spacing w:after="120"/>
            </w:pPr>
            <w:r>
              <w:t xml:space="preserve"> </w:t>
            </w:r>
          </w:p>
        </w:tc>
      </w:tr>
    </w:tbl>
    <w:p w14:paraId="5F867AA1" w14:textId="77777777" w:rsidR="00ED5A0E" w:rsidRDefault="00ED5A0E">
      <w:pPr>
        <w:spacing w:after="240"/>
      </w:pPr>
    </w:p>
    <w:p w14:paraId="451B6EB8" w14:textId="2BA87324" w:rsidR="00ED5A0E" w:rsidRDefault="00A31A4D">
      <w:pPr>
        <w:pStyle w:val="ListParagraph"/>
        <w:numPr>
          <w:ilvl w:val="0"/>
          <w:numId w:val="2"/>
        </w:numPr>
        <w:spacing w:after="80"/>
      </w:pPr>
      <w:r>
        <w:t xml:space="preserve"> </w:t>
      </w:r>
      <w:r w:rsidR="00000000">
        <w:t>Calculate the percentage increase in response time from congruent to incongruent trials.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ED5A0E" w14:paraId="0E895AA5"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487368D4" w14:textId="77777777" w:rsidR="00ED5A0E" w:rsidRDefault="00000000">
            <w:pPr>
              <w:spacing w:after="120"/>
            </w:pPr>
            <w:r>
              <w:t xml:space="preserve"> </w:t>
            </w:r>
          </w:p>
        </w:tc>
      </w:tr>
      <w:tr w:rsidR="00ED5A0E" w14:paraId="7E3591A4"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4667264F" w14:textId="77777777" w:rsidR="00ED5A0E" w:rsidRDefault="00000000">
            <w:pPr>
              <w:spacing w:after="120"/>
            </w:pPr>
            <w:r>
              <w:t xml:space="preserve"> </w:t>
            </w:r>
          </w:p>
        </w:tc>
      </w:tr>
    </w:tbl>
    <w:p w14:paraId="682144D3" w14:textId="77777777" w:rsidR="00ED5A0E" w:rsidRDefault="00ED5A0E">
      <w:pPr>
        <w:spacing w:after="240"/>
      </w:pPr>
    </w:p>
    <w:p w14:paraId="5F5A436B" w14:textId="1792198B" w:rsidR="00ED5A0E" w:rsidRDefault="00A31A4D">
      <w:pPr>
        <w:pStyle w:val="ListParagraph"/>
        <w:numPr>
          <w:ilvl w:val="0"/>
          <w:numId w:val="2"/>
        </w:numPr>
        <w:spacing w:after="80"/>
      </w:pPr>
      <w:r>
        <w:lastRenderedPageBreak/>
        <w:t xml:space="preserve"> </w:t>
      </w:r>
      <w:r w:rsidR="00000000">
        <w:t>Contrast the congruent and incongruent conditions in terms of processing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ED5A0E" w14:paraId="3EA71459"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24D947E0" w14:textId="77777777" w:rsidR="00ED5A0E" w:rsidRDefault="00000000">
            <w:pPr>
              <w:spacing w:after="120"/>
            </w:pPr>
            <w:r>
              <w:t xml:space="preserve"> </w:t>
            </w:r>
          </w:p>
        </w:tc>
      </w:tr>
      <w:tr w:rsidR="00ED5A0E" w14:paraId="4BDAC27A"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2AC4681C" w14:textId="77777777" w:rsidR="00ED5A0E" w:rsidRDefault="00000000">
            <w:pPr>
              <w:spacing w:after="120"/>
            </w:pPr>
            <w:r>
              <w:t xml:space="preserve"> </w:t>
            </w:r>
          </w:p>
        </w:tc>
      </w:tr>
    </w:tbl>
    <w:p w14:paraId="2263A707" w14:textId="77777777" w:rsidR="00ED5A0E" w:rsidRDefault="00ED5A0E">
      <w:pPr>
        <w:spacing w:after="240"/>
      </w:pPr>
    </w:p>
    <w:p w14:paraId="640B6FD0" w14:textId="79FB9B6E" w:rsidR="00ED5A0E" w:rsidRDefault="00A31A4D">
      <w:pPr>
        <w:pStyle w:val="ListParagraph"/>
        <w:numPr>
          <w:ilvl w:val="0"/>
          <w:numId w:val="2"/>
        </w:numPr>
        <w:spacing w:after="80"/>
      </w:pPr>
      <w:r>
        <w:t xml:space="preserve"> </w:t>
      </w:r>
      <w:r w:rsidR="00000000">
        <w:t>Sequence the conditions from fastest to slowest response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ED5A0E" w14:paraId="5423BDCD"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25CD6837" w14:textId="77777777" w:rsidR="00ED5A0E" w:rsidRDefault="00000000">
            <w:pPr>
              <w:spacing w:after="120"/>
            </w:pPr>
            <w:r>
              <w:t xml:space="preserve"> </w:t>
            </w:r>
          </w:p>
        </w:tc>
      </w:tr>
      <w:tr w:rsidR="00ED5A0E" w14:paraId="690B8865"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7A3547AC" w14:textId="77777777" w:rsidR="00ED5A0E" w:rsidRDefault="00000000">
            <w:pPr>
              <w:spacing w:after="120"/>
            </w:pPr>
            <w:r>
              <w:t xml:space="preserve"> </w:t>
            </w:r>
          </w:p>
        </w:tc>
      </w:tr>
    </w:tbl>
    <w:p w14:paraId="7A7C6EB8" w14:textId="77777777" w:rsidR="00ED5A0E" w:rsidRDefault="00ED5A0E">
      <w:pPr>
        <w:spacing w:after="240"/>
      </w:pPr>
    </w:p>
    <w:p w14:paraId="12B0757E" w14:textId="017AA407" w:rsidR="00ED5A0E" w:rsidRDefault="00A31A4D">
      <w:pPr>
        <w:pStyle w:val="ListParagraph"/>
        <w:numPr>
          <w:ilvl w:val="0"/>
          <w:numId w:val="2"/>
        </w:numPr>
        <w:spacing w:after="80"/>
      </w:pPr>
      <w:r>
        <w:t xml:space="preserve"> </w:t>
      </w:r>
      <w:r w:rsidR="00000000">
        <w:t>Infer what stimulus incongruence implies about attentional control in this task.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ED5A0E" w14:paraId="65C80DD5"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169824CA" w14:textId="77777777" w:rsidR="00ED5A0E" w:rsidRDefault="00000000">
            <w:pPr>
              <w:spacing w:after="120"/>
            </w:pPr>
            <w:r>
              <w:t xml:space="preserve"> </w:t>
            </w:r>
          </w:p>
        </w:tc>
      </w:tr>
      <w:tr w:rsidR="00ED5A0E" w14:paraId="6F1C722F"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46C783EA" w14:textId="77777777" w:rsidR="00ED5A0E" w:rsidRDefault="00000000">
            <w:pPr>
              <w:spacing w:after="120"/>
            </w:pPr>
            <w:r>
              <w:t xml:space="preserve"> </w:t>
            </w:r>
          </w:p>
        </w:tc>
      </w:tr>
    </w:tbl>
    <w:p w14:paraId="31556E89" w14:textId="77777777" w:rsidR="00ED5A0E" w:rsidRDefault="00ED5A0E">
      <w:pPr>
        <w:spacing w:after="240"/>
      </w:pPr>
    </w:p>
    <w:p w14:paraId="357E422E" w14:textId="08F100BF" w:rsidR="00ED5A0E" w:rsidRDefault="00A31A4D">
      <w:pPr>
        <w:pStyle w:val="ListParagraph"/>
        <w:numPr>
          <w:ilvl w:val="0"/>
          <w:numId w:val="2"/>
        </w:numPr>
        <w:spacing w:after="80"/>
      </w:pPr>
      <w:r>
        <w:t xml:space="preserve"> </w:t>
      </w:r>
      <w:r w:rsidR="00000000">
        <w:t>Draw a conclusion about the effect of incongruence on processing time, referencing the statistical significance of the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ED5A0E" w14:paraId="536F35A1"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47BDB255" w14:textId="77777777" w:rsidR="00ED5A0E" w:rsidRDefault="00000000">
            <w:pPr>
              <w:spacing w:after="120"/>
            </w:pPr>
            <w:r>
              <w:t xml:space="preserve"> </w:t>
            </w:r>
          </w:p>
        </w:tc>
      </w:tr>
      <w:tr w:rsidR="00ED5A0E" w14:paraId="1B88FD87" w14:textId="77777777">
        <w:tblPrEx>
          <w:tblCellMar>
            <w:top w:w="0" w:type="dxa"/>
            <w:bottom w:w="0" w:type="dxa"/>
          </w:tblCellMar>
        </w:tblPrEx>
        <w:tc>
          <w:tcPr>
            <w:tcW w:w="0" w:type="auto"/>
            <w:tcBorders>
              <w:top w:val="none" w:sz="0" w:space="0" w:color="FFFFFF"/>
              <w:left w:val="none" w:sz="0" w:space="0" w:color="FFFFFF"/>
              <w:bottom w:val="single" w:sz="12" w:space="0" w:color="000000"/>
              <w:right w:val="none" w:sz="0" w:space="0" w:color="FFFFFF"/>
            </w:tcBorders>
          </w:tcPr>
          <w:p w14:paraId="6C6937A7" w14:textId="77777777" w:rsidR="00ED5A0E" w:rsidRDefault="00000000">
            <w:pPr>
              <w:spacing w:after="120"/>
            </w:pPr>
            <w:r>
              <w:t xml:space="preserve"> </w:t>
            </w:r>
          </w:p>
        </w:tc>
      </w:tr>
    </w:tbl>
    <w:p w14:paraId="7172E142" w14:textId="77777777" w:rsidR="00ED5A0E" w:rsidRDefault="00ED5A0E">
      <w:pPr>
        <w:spacing w:after="240"/>
      </w:pPr>
    </w:p>
    <w:sectPr w:rsidR="00ED5A0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764BA"/>
    <w:multiLevelType w:val="hybridMultilevel"/>
    <w:tmpl w:val="DB200B92"/>
    <w:lvl w:ilvl="0" w:tplc="322E7922">
      <w:start w:val="1"/>
      <w:numFmt w:val="bullet"/>
      <w:lvlText w:val="●"/>
      <w:lvlJc w:val="left"/>
      <w:pPr>
        <w:ind w:left="720" w:hanging="360"/>
      </w:pPr>
    </w:lvl>
    <w:lvl w:ilvl="1" w:tplc="709C920E">
      <w:start w:val="1"/>
      <w:numFmt w:val="bullet"/>
      <w:lvlText w:val="○"/>
      <w:lvlJc w:val="left"/>
      <w:pPr>
        <w:ind w:left="1440" w:hanging="360"/>
      </w:pPr>
    </w:lvl>
    <w:lvl w:ilvl="2" w:tplc="B2AAA930">
      <w:start w:val="1"/>
      <w:numFmt w:val="bullet"/>
      <w:lvlText w:val="■"/>
      <w:lvlJc w:val="left"/>
      <w:pPr>
        <w:ind w:left="2160" w:hanging="360"/>
      </w:pPr>
    </w:lvl>
    <w:lvl w:ilvl="3" w:tplc="2CBC89EC">
      <w:start w:val="1"/>
      <w:numFmt w:val="bullet"/>
      <w:lvlText w:val="●"/>
      <w:lvlJc w:val="left"/>
      <w:pPr>
        <w:ind w:left="2880" w:hanging="360"/>
      </w:pPr>
    </w:lvl>
    <w:lvl w:ilvl="4" w:tplc="C854D16C">
      <w:start w:val="1"/>
      <w:numFmt w:val="bullet"/>
      <w:lvlText w:val="○"/>
      <w:lvlJc w:val="left"/>
      <w:pPr>
        <w:ind w:left="3600" w:hanging="360"/>
      </w:pPr>
    </w:lvl>
    <w:lvl w:ilvl="5" w:tplc="CCC40868">
      <w:start w:val="1"/>
      <w:numFmt w:val="bullet"/>
      <w:lvlText w:val="■"/>
      <w:lvlJc w:val="left"/>
      <w:pPr>
        <w:ind w:left="4320" w:hanging="360"/>
      </w:pPr>
    </w:lvl>
    <w:lvl w:ilvl="6" w:tplc="BA1438A6">
      <w:start w:val="1"/>
      <w:numFmt w:val="bullet"/>
      <w:lvlText w:val="●"/>
      <w:lvlJc w:val="left"/>
      <w:pPr>
        <w:ind w:left="5040" w:hanging="360"/>
      </w:pPr>
    </w:lvl>
    <w:lvl w:ilvl="7" w:tplc="9C726C20">
      <w:start w:val="1"/>
      <w:numFmt w:val="bullet"/>
      <w:lvlText w:val="●"/>
      <w:lvlJc w:val="left"/>
      <w:pPr>
        <w:ind w:left="5760" w:hanging="360"/>
      </w:pPr>
    </w:lvl>
    <w:lvl w:ilvl="8" w:tplc="735E528A">
      <w:start w:val="1"/>
      <w:numFmt w:val="bullet"/>
      <w:lvlText w:val="●"/>
      <w:lvlJc w:val="left"/>
      <w:pPr>
        <w:ind w:left="6480" w:hanging="360"/>
      </w:pPr>
    </w:lvl>
  </w:abstractNum>
  <w:abstractNum w:abstractNumId="1" w15:restartNumberingAfterBreak="0">
    <w:nsid w:val="74675EBA"/>
    <w:multiLevelType w:val="hybridMultilevel"/>
    <w:tmpl w:val="AF468EC6"/>
    <w:lvl w:ilvl="0" w:tplc="DD44F748">
      <w:start w:val="1"/>
      <w:numFmt w:val="decimal"/>
      <w:lvlText w:val="Q%1."/>
      <w:lvlJc w:val="left"/>
      <w:pPr>
        <w:ind w:left="720" w:hanging="360"/>
      </w:pPr>
    </w:lvl>
    <w:lvl w:ilvl="1" w:tplc="32C045F8">
      <w:numFmt w:val="decimal"/>
      <w:lvlText w:val=""/>
      <w:lvlJc w:val="left"/>
    </w:lvl>
    <w:lvl w:ilvl="2" w:tplc="9ACAD5D8">
      <w:numFmt w:val="decimal"/>
      <w:lvlText w:val=""/>
      <w:lvlJc w:val="left"/>
    </w:lvl>
    <w:lvl w:ilvl="3" w:tplc="3DC41604">
      <w:numFmt w:val="decimal"/>
      <w:lvlText w:val=""/>
      <w:lvlJc w:val="left"/>
    </w:lvl>
    <w:lvl w:ilvl="4" w:tplc="E7CAB4FA">
      <w:numFmt w:val="decimal"/>
      <w:lvlText w:val=""/>
      <w:lvlJc w:val="left"/>
    </w:lvl>
    <w:lvl w:ilvl="5" w:tplc="76F04450">
      <w:numFmt w:val="decimal"/>
      <w:lvlText w:val=""/>
      <w:lvlJc w:val="left"/>
    </w:lvl>
    <w:lvl w:ilvl="6" w:tplc="FCE22358">
      <w:numFmt w:val="decimal"/>
      <w:lvlText w:val=""/>
      <w:lvlJc w:val="left"/>
    </w:lvl>
    <w:lvl w:ilvl="7" w:tplc="2842AFCA">
      <w:numFmt w:val="decimal"/>
      <w:lvlText w:val=""/>
      <w:lvlJc w:val="left"/>
    </w:lvl>
    <w:lvl w:ilvl="8" w:tplc="68F021E2">
      <w:numFmt w:val="decimal"/>
      <w:lvlText w:val=""/>
      <w:lvlJc w:val="left"/>
    </w:lvl>
  </w:abstractNum>
  <w:num w:numId="1" w16cid:durableId="1494645025">
    <w:abstractNumId w:val="0"/>
    <w:lvlOverride w:ilvl="0">
      <w:startOverride w:val="1"/>
    </w:lvlOverride>
  </w:num>
  <w:num w:numId="2" w16cid:durableId="16049231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A0E"/>
    <w:rsid w:val="004716ED"/>
    <w:rsid w:val="0097009E"/>
    <w:rsid w:val="00A31A4D"/>
    <w:rsid w:val="00ED5A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3C8B851"/>
  <w15:docId w15:val="{4424B56A-59BA-374C-84F8-E3D5C48B6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185</Words>
  <Characters>895</Characters>
  <Application>Microsoft Office Word</Application>
  <DocSecurity>0</DocSecurity>
  <Lines>81</Lines>
  <Paragraphs>59</Paragraphs>
  <ScaleCrop>false</ScaleCrop>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BIDDLE, Rebecca (rbidd9)</cp:lastModifiedBy>
  <cp:revision>3</cp:revision>
  <dcterms:created xsi:type="dcterms:W3CDTF">2026-03-05T09:11:00Z</dcterms:created>
  <dcterms:modified xsi:type="dcterms:W3CDTF">2026-03-05T10:25:00Z</dcterms:modified>
</cp:coreProperties>
</file>