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F81B" w14:textId="77777777" w:rsidR="00747F65" w:rsidRDefault="00747F65" w:rsidP="00747F65">
      <w:pPr>
        <w:pStyle w:val="Heading1"/>
      </w:pPr>
      <w:r>
        <w:t>Markov regime-switching model</w:t>
      </w:r>
    </w:p>
    <w:p w14:paraId="5A860451" w14:textId="26C32744" w:rsidR="00747F65" w:rsidRDefault="00747F65" w:rsidP="00747F65">
      <w:r>
        <w:t>This subsection contains the details of the Markov-Regime-Switching model. Our aim is to estimate the probability of a</w:t>
      </w:r>
      <w:r w:rsidR="00163CB1">
        <w:t>n influenza</w:t>
      </w:r>
      <w:r>
        <w:t xml:space="preserve"> pandemic period starting (i.e. a pandemic </w:t>
      </w:r>
      <w:r w:rsidR="008B65A3">
        <w:t>occurring</w:t>
      </w:r>
      <w:r>
        <w:t xml:space="preserve">) and the probability of exiting the period of post-pandemic period of increased risk of disease outbreaks. We assume that annual mortality rates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 follow a log-normal distribution.</w:t>
      </w:r>
      <w:r>
        <w:rPr>
          <w:rStyle w:val="FootnoteReference"/>
        </w:rPr>
        <w:footnoteReference w:id="1"/>
      </w:r>
    </w:p>
    <w:p w14:paraId="2FEDBAA2" w14:textId="77777777" w:rsidR="000F3DEE" w:rsidRDefault="000F3DEE" w:rsidP="00747F65"/>
    <w:p w14:paraId="052BFC56" w14:textId="782257B3" w:rsidR="00D64F7F" w:rsidRPr="000F3DEE" w:rsidRDefault="00000000" w:rsidP="00747F6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62C7B435" w14:textId="77777777" w:rsidR="000F3DEE" w:rsidRPr="00747F65" w:rsidRDefault="000F3DEE" w:rsidP="00747F65">
      <w:pPr>
        <w:rPr>
          <w:rFonts w:eastAsiaTheme="minorEastAsia"/>
        </w:rPr>
      </w:pPr>
    </w:p>
    <w:p w14:paraId="17CF39C7" w14:textId="3DCEBB97" w:rsidR="001C2C9C" w:rsidRDefault="00747F65" w:rsidP="00747F65">
      <w:r>
        <w:t>where the mean and variance of the underlying distribution is allowed to vary between the</w:t>
      </w:r>
      <w:r w:rsidR="001C2C9C">
        <w:t xml:space="preserve"> </w:t>
      </w:r>
      <w:r>
        <w:t>two distinct regimes of periods of low and high disease outbreak risk, r</w:t>
      </w:r>
      <w:r w:rsidR="00CA5D47">
        <w:t xml:space="preserve"> = {</w:t>
      </w:r>
      <w:r>
        <w:t xml:space="preserve">1,2}. </w:t>
      </w:r>
    </w:p>
    <w:p w14:paraId="2175C3CF" w14:textId="77777777" w:rsidR="001C2C9C" w:rsidRDefault="001C2C9C" w:rsidP="001C2C9C"/>
    <w:p w14:paraId="4D00757D" w14:textId="36DB987D" w:rsidR="00747F65" w:rsidRDefault="00747F65" w:rsidP="001C2C9C">
      <w:r>
        <w:t xml:space="preserve">Markov-Regime-Switching models have been used to analyse business cycle behaviour (Hamilton (1989), </w:t>
      </w:r>
      <w:proofErr w:type="spellStart"/>
      <w:r>
        <w:t>Doornik</w:t>
      </w:r>
      <w:proofErr w:type="spellEnd"/>
      <w:r>
        <w:t xml:space="preserve"> (2013)) </w:t>
      </w:r>
      <w:proofErr w:type="gramStart"/>
      <w:r>
        <w:t>and also</w:t>
      </w:r>
      <w:proofErr w:type="gramEnd"/>
      <w:r>
        <w:t xml:space="preserve"> in the detection of infectious disease outbreaks (Martínez-</w:t>
      </w:r>
      <w:proofErr w:type="spellStart"/>
      <w:r>
        <w:t>Beneito</w:t>
      </w:r>
      <w:proofErr w:type="spellEnd"/>
      <w:r>
        <w:t xml:space="preserve"> et al. (2008), </w:t>
      </w:r>
      <w:proofErr w:type="spellStart"/>
      <w:r>
        <w:t>Unkel</w:t>
      </w:r>
      <w:proofErr w:type="spellEnd"/>
      <w:r>
        <w:t xml:space="preserve"> et al. (2012)).</w:t>
      </w:r>
    </w:p>
    <w:p w14:paraId="684CFA69" w14:textId="77777777" w:rsidR="001C2C9C" w:rsidRDefault="001C2C9C" w:rsidP="00747F65"/>
    <w:p w14:paraId="38D7D7D1" w14:textId="2205AD86" w:rsidR="00747F65" w:rsidRDefault="00747F65" w:rsidP="00747F65">
      <w:r>
        <w:t xml:space="preserve">We test the assumption of two regimes versus a single regime, by performing a quasi-likelihood test for regime-switching models based on Bostwick and </w:t>
      </w:r>
      <w:proofErr w:type="spellStart"/>
      <w:r>
        <w:t>Steigerwald</w:t>
      </w:r>
      <w:proofErr w:type="spellEnd"/>
      <w:r>
        <w:t xml:space="preserve"> (2014) and reject at the 1% level the null hypothesis that the variation in the data is explained by only one regime. The table below shows the results from estimating the Markov-Switching model with two regimes and Table </w:t>
      </w:r>
      <w:r w:rsidR="00A0237B">
        <w:t>2</w:t>
      </w:r>
      <w:r>
        <w:t xml:space="preserve"> shows the implied properties of each mortality regime in each case.</w:t>
      </w:r>
    </w:p>
    <w:p w14:paraId="2265DA41" w14:textId="77777777" w:rsidR="005D30DC" w:rsidRDefault="005D30DC" w:rsidP="00747F65"/>
    <w:p w14:paraId="24329279" w14:textId="3FC9DE13" w:rsidR="005D30DC" w:rsidRDefault="005D30DC" w:rsidP="005D30DC">
      <w:r>
        <w:t>Table 1: Two disease outbreak regimes</w:t>
      </w:r>
      <w:r w:rsidR="00A0237B">
        <w:t xml:space="preserve"> – MS model estimates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30DC" w:rsidRPr="005D30DC" w14:paraId="64C92DF9" w14:textId="77777777" w:rsidTr="005D30DC">
        <w:tc>
          <w:tcPr>
            <w:tcW w:w="2254" w:type="dxa"/>
          </w:tcPr>
          <w:p w14:paraId="64EF58F2" w14:textId="2E029B0A" w:rsidR="005D30DC" w:rsidRPr="005D30DC" w:rsidRDefault="00A0237B" w:rsidP="00AB3BFF">
            <w:r>
              <w:t>Glasgow 1907 - 1972</w:t>
            </w:r>
          </w:p>
        </w:tc>
        <w:tc>
          <w:tcPr>
            <w:tcW w:w="2254" w:type="dxa"/>
          </w:tcPr>
          <w:p w14:paraId="4D3420B1" w14:textId="77777777" w:rsidR="005D30DC" w:rsidRPr="005D30DC" w:rsidRDefault="005D30DC" w:rsidP="00AB3BFF">
            <w:r w:rsidRPr="005D30DC">
              <w:t>Coefficient</w:t>
            </w:r>
          </w:p>
        </w:tc>
        <w:tc>
          <w:tcPr>
            <w:tcW w:w="2254" w:type="dxa"/>
          </w:tcPr>
          <w:p w14:paraId="63D70BE7" w14:textId="77777777" w:rsidR="005D30DC" w:rsidRPr="005D30DC" w:rsidRDefault="005D30DC" w:rsidP="00AB3BFF">
            <w:r w:rsidRPr="005D30DC">
              <w:t>Std. Error</w:t>
            </w:r>
          </w:p>
        </w:tc>
        <w:tc>
          <w:tcPr>
            <w:tcW w:w="2254" w:type="dxa"/>
          </w:tcPr>
          <w:p w14:paraId="4BF08272" w14:textId="77777777" w:rsidR="005D30DC" w:rsidRPr="005D30DC" w:rsidRDefault="005D30DC" w:rsidP="00AB3BFF">
            <w:r w:rsidRPr="005D30DC">
              <w:t>95% Confidence Interval</w:t>
            </w:r>
          </w:p>
        </w:tc>
      </w:tr>
      <w:tr w:rsidR="005D30DC" w:rsidRPr="005D30DC" w14:paraId="423B5949" w14:textId="77777777" w:rsidTr="005D30DC">
        <w:tc>
          <w:tcPr>
            <w:tcW w:w="2254" w:type="dxa"/>
          </w:tcPr>
          <w:p w14:paraId="14F58C24" w14:textId="77777777" w:rsidR="005D30DC" w:rsidRPr="005D30DC" w:rsidRDefault="005D30DC" w:rsidP="00AB3BFF">
            <w:r w:rsidRPr="005D30DC">
              <w:t>μ₁</w:t>
            </w:r>
          </w:p>
        </w:tc>
        <w:tc>
          <w:tcPr>
            <w:tcW w:w="2254" w:type="dxa"/>
          </w:tcPr>
          <w:p w14:paraId="2B0DFD06" w14:textId="66D40251" w:rsidR="005D30DC" w:rsidRPr="005D30DC" w:rsidRDefault="005D30DC" w:rsidP="00AB3BFF">
            <w:r w:rsidRPr="005D30DC">
              <w:t>4.</w:t>
            </w:r>
            <w:r w:rsidR="00C0544C">
              <w:t>11</w:t>
            </w:r>
          </w:p>
        </w:tc>
        <w:tc>
          <w:tcPr>
            <w:tcW w:w="2254" w:type="dxa"/>
          </w:tcPr>
          <w:p w14:paraId="52B08EA5" w14:textId="4A4D2E32" w:rsidR="005D30DC" w:rsidRPr="005D30DC" w:rsidRDefault="005D30DC" w:rsidP="00AB3BFF">
            <w:r w:rsidRPr="005D30DC">
              <w:t>0.1</w:t>
            </w:r>
            <w:r w:rsidR="00C0544C">
              <w:t>19</w:t>
            </w:r>
          </w:p>
        </w:tc>
        <w:tc>
          <w:tcPr>
            <w:tcW w:w="2254" w:type="dxa"/>
          </w:tcPr>
          <w:p w14:paraId="5A5D2402" w14:textId="57A1F3B2" w:rsidR="005D30DC" w:rsidRPr="005D30DC" w:rsidRDefault="005D30DC" w:rsidP="00AB3BFF">
            <w:r w:rsidRPr="005D30DC">
              <w:t>[</w:t>
            </w:r>
            <w:r w:rsidR="00C0544C">
              <w:t>3.87</w:t>
            </w:r>
            <w:r w:rsidRPr="005D30DC">
              <w:t>, 4.</w:t>
            </w:r>
            <w:r w:rsidR="00C0544C">
              <w:t>34</w:t>
            </w:r>
            <w:r w:rsidRPr="005D30DC">
              <w:t>]</w:t>
            </w:r>
          </w:p>
        </w:tc>
      </w:tr>
      <w:tr w:rsidR="005D30DC" w:rsidRPr="005D30DC" w14:paraId="2ECF3AC7" w14:textId="77777777" w:rsidTr="005D30DC">
        <w:tc>
          <w:tcPr>
            <w:tcW w:w="2254" w:type="dxa"/>
          </w:tcPr>
          <w:p w14:paraId="79DD2952" w14:textId="77777777" w:rsidR="005D30DC" w:rsidRPr="005D30DC" w:rsidRDefault="005D30DC" w:rsidP="00AB3BFF">
            <w:r w:rsidRPr="005D30DC">
              <w:t>μ₂</w:t>
            </w:r>
          </w:p>
        </w:tc>
        <w:tc>
          <w:tcPr>
            <w:tcW w:w="2254" w:type="dxa"/>
          </w:tcPr>
          <w:p w14:paraId="34872CE5" w14:textId="03199217" w:rsidR="005D30DC" w:rsidRPr="005D30DC" w:rsidRDefault="005D30DC" w:rsidP="00AB3BFF">
            <w:r w:rsidRPr="005D30DC">
              <w:t>5.5</w:t>
            </w:r>
            <w:r w:rsidR="00C0544C">
              <w:t>5</w:t>
            </w:r>
          </w:p>
        </w:tc>
        <w:tc>
          <w:tcPr>
            <w:tcW w:w="2254" w:type="dxa"/>
          </w:tcPr>
          <w:p w14:paraId="40D21BA4" w14:textId="2E200F44" w:rsidR="005D30DC" w:rsidRPr="005D30DC" w:rsidRDefault="005D30DC" w:rsidP="00AB3BFF">
            <w:r w:rsidRPr="005D30DC">
              <w:t>0.</w:t>
            </w:r>
            <w:r w:rsidR="00C0544C">
              <w:t>192</w:t>
            </w:r>
          </w:p>
        </w:tc>
        <w:tc>
          <w:tcPr>
            <w:tcW w:w="2254" w:type="dxa"/>
          </w:tcPr>
          <w:p w14:paraId="577B433C" w14:textId="2AF8FAE7" w:rsidR="005D30DC" w:rsidRPr="005D30DC" w:rsidRDefault="005D30DC" w:rsidP="00AB3BFF">
            <w:r w:rsidRPr="005D30DC">
              <w:t>[5.</w:t>
            </w:r>
            <w:r w:rsidR="00C0544C">
              <w:t>17</w:t>
            </w:r>
            <w:r w:rsidRPr="005D30DC">
              <w:t>, 5.9</w:t>
            </w:r>
            <w:r w:rsidR="00C0544C">
              <w:t>3</w:t>
            </w:r>
            <w:r w:rsidRPr="005D30DC">
              <w:t>]</w:t>
            </w:r>
          </w:p>
        </w:tc>
      </w:tr>
      <w:tr w:rsidR="005D30DC" w:rsidRPr="005D30DC" w14:paraId="3FEA2CC0" w14:textId="77777777" w:rsidTr="005D30DC">
        <w:tc>
          <w:tcPr>
            <w:tcW w:w="2254" w:type="dxa"/>
          </w:tcPr>
          <w:p w14:paraId="5F0E9FEF" w14:textId="77777777" w:rsidR="005D30DC" w:rsidRPr="005D30DC" w:rsidRDefault="005D30DC" w:rsidP="00AB3BFF">
            <w:r w:rsidRPr="005D30DC">
              <w:t>σ₁</w:t>
            </w:r>
          </w:p>
        </w:tc>
        <w:tc>
          <w:tcPr>
            <w:tcW w:w="2254" w:type="dxa"/>
          </w:tcPr>
          <w:p w14:paraId="4F1A8424" w14:textId="606F7F8A" w:rsidR="005D30DC" w:rsidRPr="005D30DC" w:rsidRDefault="005D30DC" w:rsidP="00AB3BFF">
            <w:r w:rsidRPr="005D30DC">
              <w:t>0.</w:t>
            </w:r>
            <w:r w:rsidR="00C0544C">
              <w:t>74</w:t>
            </w:r>
          </w:p>
        </w:tc>
        <w:tc>
          <w:tcPr>
            <w:tcW w:w="2254" w:type="dxa"/>
          </w:tcPr>
          <w:p w14:paraId="474C3DA2" w14:textId="0E241682" w:rsidR="005D30DC" w:rsidRPr="005D30DC" w:rsidRDefault="005D30DC" w:rsidP="00AB3BFF">
            <w:r w:rsidRPr="005D30DC">
              <w:t>0.</w:t>
            </w:r>
            <w:r w:rsidR="00C0544C">
              <w:t>083</w:t>
            </w:r>
          </w:p>
        </w:tc>
        <w:tc>
          <w:tcPr>
            <w:tcW w:w="2254" w:type="dxa"/>
          </w:tcPr>
          <w:p w14:paraId="52E5408C" w14:textId="49065F13" w:rsidR="005D30DC" w:rsidRPr="005D30DC" w:rsidRDefault="005D30DC" w:rsidP="00AB3BFF">
            <w:r w:rsidRPr="005D30DC">
              <w:t>[0.</w:t>
            </w:r>
            <w:r w:rsidR="00C0544C">
              <w:t>60</w:t>
            </w:r>
            <w:r w:rsidRPr="005D30DC">
              <w:t>, 0.</w:t>
            </w:r>
            <w:r w:rsidR="00C0544C">
              <w:t>92</w:t>
            </w:r>
            <w:r w:rsidRPr="005D30DC">
              <w:t>]</w:t>
            </w:r>
          </w:p>
        </w:tc>
      </w:tr>
      <w:tr w:rsidR="005D30DC" w:rsidRPr="005D30DC" w14:paraId="3D2877B0" w14:textId="77777777" w:rsidTr="005D30DC">
        <w:tc>
          <w:tcPr>
            <w:tcW w:w="2254" w:type="dxa"/>
          </w:tcPr>
          <w:p w14:paraId="15C39F30" w14:textId="77777777" w:rsidR="005D30DC" w:rsidRPr="005D30DC" w:rsidRDefault="005D30DC" w:rsidP="00AB3BFF">
            <w:r w:rsidRPr="005D30DC">
              <w:t>σ₂</w:t>
            </w:r>
          </w:p>
        </w:tc>
        <w:tc>
          <w:tcPr>
            <w:tcW w:w="2254" w:type="dxa"/>
          </w:tcPr>
          <w:p w14:paraId="0CBEBB53" w14:textId="2F24AEEE" w:rsidR="005D30DC" w:rsidRPr="005D30DC" w:rsidRDefault="005D30DC" w:rsidP="00AB3BFF">
            <w:r w:rsidRPr="005D30DC">
              <w:t>0.8</w:t>
            </w:r>
            <w:r w:rsidR="00C0544C">
              <w:t>5</w:t>
            </w:r>
          </w:p>
        </w:tc>
        <w:tc>
          <w:tcPr>
            <w:tcW w:w="2254" w:type="dxa"/>
          </w:tcPr>
          <w:p w14:paraId="0C250C30" w14:textId="44C49897" w:rsidR="005D30DC" w:rsidRPr="005D30DC" w:rsidRDefault="005D30DC" w:rsidP="00AB3BFF">
            <w:r w:rsidRPr="005D30DC">
              <w:t>0.1</w:t>
            </w:r>
            <w:r w:rsidR="00C0544C">
              <w:t>25</w:t>
            </w:r>
          </w:p>
        </w:tc>
        <w:tc>
          <w:tcPr>
            <w:tcW w:w="2254" w:type="dxa"/>
          </w:tcPr>
          <w:p w14:paraId="04514749" w14:textId="2A92FE9D" w:rsidR="005D30DC" w:rsidRPr="005D30DC" w:rsidRDefault="005D30DC" w:rsidP="00AB3BFF">
            <w:r w:rsidRPr="005D30DC">
              <w:t>[0.</w:t>
            </w:r>
            <w:r w:rsidR="00C0544C">
              <w:t>64</w:t>
            </w:r>
            <w:r w:rsidRPr="005D30DC">
              <w:t>, 1.1</w:t>
            </w:r>
            <w:r w:rsidR="00C0544C">
              <w:t>3</w:t>
            </w:r>
            <w:r w:rsidRPr="005D30DC">
              <w:t>]</w:t>
            </w:r>
          </w:p>
        </w:tc>
      </w:tr>
      <w:tr w:rsidR="005D30DC" w:rsidRPr="005D30DC" w14:paraId="2BF64C3A" w14:textId="77777777" w:rsidTr="005D30DC">
        <w:tc>
          <w:tcPr>
            <w:tcW w:w="2254" w:type="dxa"/>
          </w:tcPr>
          <w:p w14:paraId="54846F4E" w14:textId="77777777" w:rsidR="005D30DC" w:rsidRPr="005D30DC" w:rsidRDefault="005D30DC" w:rsidP="00AB3BFF">
            <w:r w:rsidRPr="005D30DC">
              <w:t>p₁₁</w:t>
            </w:r>
          </w:p>
        </w:tc>
        <w:tc>
          <w:tcPr>
            <w:tcW w:w="2254" w:type="dxa"/>
          </w:tcPr>
          <w:p w14:paraId="77AEF167" w14:textId="51AEBB64" w:rsidR="005D30DC" w:rsidRPr="005D30DC" w:rsidRDefault="005D30DC" w:rsidP="00AB3BFF">
            <w:r w:rsidRPr="005D30DC">
              <w:t>0.9</w:t>
            </w:r>
            <w:r w:rsidR="00C0544C">
              <w:t>8</w:t>
            </w:r>
          </w:p>
        </w:tc>
        <w:tc>
          <w:tcPr>
            <w:tcW w:w="2254" w:type="dxa"/>
          </w:tcPr>
          <w:p w14:paraId="0D6FF61B" w14:textId="408C6DC1" w:rsidR="005D30DC" w:rsidRPr="005D30DC" w:rsidRDefault="005D30DC" w:rsidP="00AB3BFF">
            <w:r w:rsidRPr="005D30DC">
              <w:t>0.02</w:t>
            </w:r>
            <w:r w:rsidR="00C0544C">
              <w:t>1</w:t>
            </w:r>
          </w:p>
        </w:tc>
        <w:tc>
          <w:tcPr>
            <w:tcW w:w="2254" w:type="dxa"/>
          </w:tcPr>
          <w:p w14:paraId="1B411CB0" w14:textId="43ACF3EF" w:rsidR="005D30DC" w:rsidRPr="005D30DC" w:rsidRDefault="005D30DC" w:rsidP="00AB3BFF">
            <w:r w:rsidRPr="005D30DC">
              <w:t>[0.</w:t>
            </w:r>
            <w:r w:rsidR="00C0544C">
              <w:t>85</w:t>
            </w:r>
            <w:r w:rsidRPr="005D30DC">
              <w:t>, 0.99]</w:t>
            </w:r>
          </w:p>
        </w:tc>
      </w:tr>
      <w:tr w:rsidR="005D30DC" w:rsidRPr="005D30DC" w14:paraId="47413324" w14:textId="77777777" w:rsidTr="005D30DC">
        <w:tc>
          <w:tcPr>
            <w:tcW w:w="2254" w:type="dxa"/>
          </w:tcPr>
          <w:p w14:paraId="22D72111" w14:textId="77777777" w:rsidR="005D30DC" w:rsidRPr="005D30DC" w:rsidRDefault="005D30DC" w:rsidP="00AB3BFF">
            <w:r w:rsidRPr="005D30DC">
              <w:t>p₂₁</w:t>
            </w:r>
          </w:p>
        </w:tc>
        <w:tc>
          <w:tcPr>
            <w:tcW w:w="2254" w:type="dxa"/>
          </w:tcPr>
          <w:p w14:paraId="321C5468" w14:textId="77777777" w:rsidR="005D30DC" w:rsidRPr="005D30DC" w:rsidRDefault="005D30DC" w:rsidP="00AB3BFF">
            <w:r w:rsidRPr="005D30DC">
              <w:t>0.05</w:t>
            </w:r>
          </w:p>
        </w:tc>
        <w:tc>
          <w:tcPr>
            <w:tcW w:w="2254" w:type="dxa"/>
          </w:tcPr>
          <w:p w14:paraId="03DEDB59" w14:textId="2E5802B3" w:rsidR="005D30DC" w:rsidRPr="005D30DC" w:rsidRDefault="005D30DC" w:rsidP="00AB3BFF">
            <w:r w:rsidRPr="005D30DC">
              <w:t>0.0</w:t>
            </w:r>
            <w:r w:rsidR="00C0544C">
              <w:t>44</w:t>
            </w:r>
          </w:p>
        </w:tc>
        <w:tc>
          <w:tcPr>
            <w:tcW w:w="2254" w:type="dxa"/>
          </w:tcPr>
          <w:p w14:paraId="17919657" w14:textId="7B002857" w:rsidR="005D30DC" w:rsidRPr="005D30DC" w:rsidRDefault="005D30DC" w:rsidP="00AB3BFF">
            <w:r w:rsidRPr="005D30DC">
              <w:t>[0.01, 0.</w:t>
            </w:r>
            <w:r w:rsidR="00C0544C">
              <w:t>24</w:t>
            </w:r>
            <w:r w:rsidRPr="005D30DC">
              <w:t>]</w:t>
            </w:r>
          </w:p>
        </w:tc>
      </w:tr>
    </w:tbl>
    <w:p w14:paraId="73C37A83" w14:textId="1D3FCECB" w:rsidR="005D30DC" w:rsidRDefault="005D30DC" w:rsidP="005D30DC">
      <w:r>
        <w:t xml:space="preserve">Log Likelihood </w:t>
      </w:r>
      <w:r w:rsidR="00AF5356" w:rsidRPr="00AF5356">
        <w:t>-83.856</w:t>
      </w:r>
      <w:r>
        <w:t xml:space="preserve">, 1% critical value: </w:t>
      </w:r>
      <w:r w:rsidR="00AF5356" w:rsidRPr="00AF5356">
        <w:t>7.8184</w:t>
      </w:r>
      <w:r>
        <w:t xml:space="preserve">, value of test statistic: </w:t>
      </w:r>
      <w:r w:rsidR="00AF5356" w:rsidRPr="00AF5356">
        <w:t>25.9288</w:t>
      </w:r>
      <w:r>
        <w:tab/>
      </w:r>
      <w:r>
        <w:tab/>
      </w:r>
      <w:r>
        <w:tab/>
      </w:r>
    </w:p>
    <w:p w14:paraId="26201EE5" w14:textId="7F53A950" w:rsidR="005D30DC" w:rsidRDefault="005D30DC" w:rsidP="005D30DC"/>
    <w:p w14:paraId="6756B2B8" w14:textId="77777777" w:rsidR="0078148E" w:rsidRDefault="0078148E" w:rsidP="0078148E">
      <w:r>
        <w:t>Table 2: Characteristics of mortality regimes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126A" w:rsidRPr="0078148E" w14:paraId="146F0788" w14:textId="77777777" w:rsidTr="0078148E">
        <w:tc>
          <w:tcPr>
            <w:tcW w:w="2254" w:type="dxa"/>
          </w:tcPr>
          <w:p w14:paraId="3374AFB5" w14:textId="129A10EC" w:rsidR="0073126A" w:rsidRPr="0078148E" w:rsidRDefault="0073126A" w:rsidP="0073126A">
            <w:r w:rsidRPr="0078148E">
              <w:t>Glasgow 1907 - 19</w:t>
            </w:r>
            <w:r w:rsidR="00C0544C">
              <w:t>72</w:t>
            </w:r>
          </w:p>
        </w:tc>
        <w:tc>
          <w:tcPr>
            <w:tcW w:w="2254" w:type="dxa"/>
          </w:tcPr>
          <w:p w14:paraId="1E858B79" w14:textId="4934A893" w:rsidR="0073126A" w:rsidRPr="0078148E" w:rsidRDefault="0073126A" w:rsidP="0073126A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</w:tcPr>
          <w:p w14:paraId="044456D6" w14:textId="0433DD7B" w:rsidR="0073126A" w:rsidRPr="0078148E" w:rsidRDefault="0073126A" w:rsidP="0073126A">
            <m:oMathPara>
              <m:oMath>
                <m:r>
                  <w:rPr>
                    <w:rFonts w:ascii="Cambria Math" w:hAnsi="Cambria Math"/>
                  </w:rPr>
                  <m:t>Std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</w:tcPr>
          <w:p w14:paraId="4CC3F3DB" w14:textId="54C47580" w:rsidR="0073126A" w:rsidRPr="0078148E" w:rsidRDefault="0073126A" w:rsidP="0073126A">
            <w:r w:rsidRPr="0078148E">
              <w:t>exp. duration</w:t>
            </w:r>
          </w:p>
        </w:tc>
      </w:tr>
      <w:tr w:rsidR="0073126A" w:rsidRPr="0078148E" w14:paraId="2D817159" w14:textId="77777777" w:rsidTr="0078148E">
        <w:tc>
          <w:tcPr>
            <w:tcW w:w="2254" w:type="dxa"/>
          </w:tcPr>
          <w:p w14:paraId="0280A043" w14:textId="4D49F9DF" w:rsidR="0073126A" w:rsidRPr="0078148E" w:rsidRDefault="0073126A" w:rsidP="0073126A">
            <w:r w:rsidRPr="0078148E">
              <w:t>Regime I</w:t>
            </w:r>
          </w:p>
        </w:tc>
        <w:tc>
          <w:tcPr>
            <w:tcW w:w="2254" w:type="dxa"/>
          </w:tcPr>
          <w:p w14:paraId="1B90D221" w14:textId="1CAD7268" w:rsidR="0073126A" w:rsidRPr="0078148E" w:rsidRDefault="0073126A" w:rsidP="0073126A">
            <w:r w:rsidRPr="0078148E">
              <w:t>8</w:t>
            </w:r>
            <w:r w:rsidR="00BF583E">
              <w:t>0</w:t>
            </w:r>
          </w:p>
        </w:tc>
        <w:tc>
          <w:tcPr>
            <w:tcW w:w="2254" w:type="dxa"/>
          </w:tcPr>
          <w:p w14:paraId="1DDA00C7" w14:textId="23D3E6B6" w:rsidR="0073126A" w:rsidRPr="0078148E" w:rsidRDefault="00BF583E" w:rsidP="0073126A">
            <w:r>
              <w:t>68</w:t>
            </w:r>
          </w:p>
        </w:tc>
        <w:tc>
          <w:tcPr>
            <w:tcW w:w="2254" w:type="dxa"/>
          </w:tcPr>
          <w:p w14:paraId="4F5C9308" w14:textId="3072A4E3" w:rsidR="0073126A" w:rsidRPr="0078148E" w:rsidRDefault="00BF583E" w:rsidP="0073126A">
            <w:r>
              <w:t>5</w:t>
            </w:r>
            <w:r w:rsidR="0073126A" w:rsidRPr="0078148E">
              <w:t>0</w:t>
            </w:r>
          </w:p>
        </w:tc>
      </w:tr>
      <w:tr w:rsidR="0073126A" w:rsidRPr="0078148E" w14:paraId="2D3E03D3" w14:textId="77777777" w:rsidTr="0078148E">
        <w:tc>
          <w:tcPr>
            <w:tcW w:w="2254" w:type="dxa"/>
          </w:tcPr>
          <w:p w14:paraId="59E63C32" w14:textId="31BE7F24" w:rsidR="0073126A" w:rsidRPr="0078148E" w:rsidRDefault="0073126A" w:rsidP="0073126A">
            <w:r w:rsidRPr="0078148E">
              <w:t>Regime II</w:t>
            </w:r>
          </w:p>
        </w:tc>
        <w:tc>
          <w:tcPr>
            <w:tcW w:w="2254" w:type="dxa"/>
          </w:tcPr>
          <w:p w14:paraId="70A03456" w14:textId="182DB175" w:rsidR="0073126A" w:rsidRPr="0078148E" w:rsidRDefault="0073126A" w:rsidP="0073126A">
            <w:r w:rsidRPr="0078148E">
              <w:t>36</w:t>
            </w:r>
            <w:r w:rsidR="00BF583E">
              <w:t>9</w:t>
            </w:r>
          </w:p>
        </w:tc>
        <w:tc>
          <w:tcPr>
            <w:tcW w:w="2254" w:type="dxa"/>
          </w:tcPr>
          <w:p w14:paraId="4D04AFD7" w14:textId="0E550A3D" w:rsidR="0073126A" w:rsidRPr="0078148E" w:rsidRDefault="0073126A" w:rsidP="0073126A">
            <w:r w:rsidRPr="0078148E">
              <w:t>3</w:t>
            </w:r>
            <w:r w:rsidR="00BF583E">
              <w:t>80</w:t>
            </w:r>
          </w:p>
        </w:tc>
        <w:tc>
          <w:tcPr>
            <w:tcW w:w="2254" w:type="dxa"/>
          </w:tcPr>
          <w:p w14:paraId="47DABAD3" w14:textId="1750EA14" w:rsidR="0073126A" w:rsidRPr="0078148E" w:rsidRDefault="0073126A" w:rsidP="0073126A">
            <w:r w:rsidRPr="0078148E">
              <w:t>20</w:t>
            </w:r>
          </w:p>
        </w:tc>
      </w:tr>
      <w:tr w:rsidR="0073126A" w:rsidRPr="0078148E" w14:paraId="4396F0FB" w14:textId="77777777" w:rsidTr="0078148E">
        <w:tc>
          <w:tcPr>
            <w:tcW w:w="2254" w:type="dxa"/>
          </w:tcPr>
          <w:p w14:paraId="3F2580F5" w14:textId="62B5D2C6" w:rsidR="0073126A" w:rsidRPr="0078148E" w:rsidRDefault="0073126A" w:rsidP="0073126A"/>
        </w:tc>
        <w:tc>
          <w:tcPr>
            <w:tcW w:w="2254" w:type="dxa"/>
          </w:tcPr>
          <w:p w14:paraId="1CD0FF89" w14:textId="2681F58C" w:rsidR="0073126A" w:rsidRPr="0078148E" w:rsidRDefault="0073126A" w:rsidP="0073126A"/>
        </w:tc>
        <w:tc>
          <w:tcPr>
            <w:tcW w:w="2254" w:type="dxa"/>
          </w:tcPr>
          <w:p w14:paraId="18E7FE04" w14:textId="368BA692" w:rsidR="0073126A" w:rsidRPr="0078148E" w:rsidRDefault="0073126A" w:rsidP="0073126A"/>
        </w:tc>
        <w:tc>
          <w:tcPr>
            <w:tcW w:w="2254" w:type="dxa"/>
          </w:tcPr>
          <w:p w14:paraId="1708B1BA" w14:textId="610922DF" w:rsidR="0073126A" w:rsidRPr="0078148E" w:rsidRDefault="0073126A" w:rsidP="0073126A"/>
        </w:tc>
      </w:tr>
    </w:tbl>
    <w:p w14:paraId="0840B0A8" w14:textId="77777777" w:rsidR="00F47D24" w:rsidRDefault="0078148E" w:rsidP="0078148E">
      <w:r>
        <w:t>Expectation and standard deviation of mortality rates based on point estimates in Table 1.</w:t>
      </w:r>
      <w:r>
        <w:tab/>
      </w:r>
    </w:p>
    <w:p w14:paraId="260D63AF" w14:textId="5A0BFCFB" w:rsidR="00A0237B" w:rsidRDefault="00A0237B">
      <w:pPr>
        <w:spacing w:after="160" w:line="259" w:lineRule="auto"/>
      </w:pPr>
      <w:r>
        <w:br w:type="page"/>
      </w:r>
    </w:p>
    <w:p w14:paraId="7948E58D" w14:textId="783EAE58" w:rsidR="00F47D24" w:rsidRPr="00C0544C" w:rsidRDefault="00F47D24" w:rsidP="00F47D24">
      <w:pPr>
        <w:pStyle w:val="Heading1"/>
        <w:rPr>
          <w:lang w:val="de-DE"/>
        </w:rPr>
      </w:pPr>
      <w:r w:rsidRPr="00C0544C">
        <w:rPr>
          <w:lang w:val="de-DE"/>
        </w:rPr>
        <w:lastRenderedPageBreak/>
        <w:t xml:space="preserve">References </w:t>
      </w:r>
    </w:p>
    <w:p w14:paraId="57DC5DBC" w14:textId="77777777" w:rsidR="00F47D24" w:rsidRPr="00C0544C" w:rsidRDefault="00F47D24" w:rsidP="00F47D24">
      <w:pPr>
        <w:rPr>
          <w:lang w:val="de-DE"/>
        </w:rPr>
      </w:pPr>
    </w:p>
    <w:p w14:paraId="3E7561F5" w14:textId="77777777" w:rsidR="00F47D24" w:rsidRDefault="00F47D24" w:rsidP="00F47D24">
      <w:proofErr w:type="spellStart"/>
      <w:r w:rsidRPr="00F47D24">
        <w:rPr>
          <w:lang w:val="de-DE"/>
        </w:rPr>
        <w:t>Bostwick</w:t>
      </w:r>
      <w:proofErr w:type="spellEnd"/>
      <w:r w:rsidRPr="00F47D24">
        <w:rPr>
          <w:lang w:val="de-DE"/>
        </w:rPr>
        <w:t xml:space="preserve">, V. K., &amp; Steigerwald, D. G. (2014). </w:t>
      </w:r>
      <w:r>
        <w:t xml:space="preserve">Obtaining critical values for test of Markov regime switching. </w:t>
      </w:r>
      <w:r>
        <w:rPr>
          <w:i/>
          <w:iCs/>
        </w:rPr>
        <w:t>The Stata Journal</w:t>
      </w:r>
      <w:r>
        <w:t xml:space="preserve">, </w:t>
      </w:r>
      <w:r>
        <w:rPr>
          <w:i/>
          <w:iCs/>
        </w:rPr>
        <w:t>14</w:t>
      </w:r>
      <w:r>
        <w:t>(3), 481-498.</w:t>
      </w:r>
    </w:p>
    <w:p w14:paraId="7548C197" w14:textId="77777777" w:rsidR="00F47D24" w:rsidRDefault="00F47D24" w:rsidP="00F47D24"/>
    <w:p w14:paraId="065AAEEB" w14:textId="198DF04F" w:rsidR="00F47D24" w:rsidRDefault="00F47D24" w:rsidP="00F47D24">
      <w:proofErr w:type="spellStart"/>
      <w:r w:rsidRPr="00F47D24">
        <w:t>Doornik</w:t>
      </w:r>
      <w:proofErr w:type="spellEnd"/>
      <w:r w:rsidRPr="00F47D24">
        <w:t xml:space="preserve">, J. A. (2013). A Markov-switching model with component structure for US GNP. </w:t>
      </w:r>
      <w:r w:rsidRPr="00F47D24">
        <w:rPr>
          <w:i/>
          <w:iCs/>
        </w:rPr>
        <w:t>Economics Letters</w:t>
      </w:r>
      <w:r w:rsidRPr="00F47D24">
        <w:t xml:space="preserve">, </w:t>
      </w:r>
      <w:r w:rsidRPr="00F47D24">
        <w:rPr>
          <w:i/>
          <w:iCs/>
        </w:rPr>
        <w:t>118</w:t>
      </w:r>
      <w:r w:rsidRPr="00F47D24">
        <w:t>(2), 265-268.</w:t>
      </w:r>
    </w:p>
    <w:p w14:paraId="696CCE1D" w14:textId="79FD52B4" w:rsidR="0078148E" w:rsidRPr="00F47D24" w:rsidRDefault="0078148E" w:rsidP="00F47D24">
      <w:r>
        <w:tab/>
      </w:r>
      <w:r>
        <w:tab/>
      </w:r>
    </w:p>
    <w:p w14:paraId="533CA02B" w14:textId="6976F3E5" w:rsidR="00F47D24" w:rsidRDefault="00F47D24" w:rsidP="00F47D24">
      <w:r w:rsidRPr="00F47D24">
        <w:t xml:space="preserve">Hamilton, J. D. (1989). A new approach to the economic analysis of nonstationary time series and the business cycle. </w:t>
      </w:r>
      <w:proofErr w:type="spellStart"/>
      <w:r w:rsidRPr="00F47D24">
        <w:rPr>
          <w:i/>
          <w:iCs/>
        </w:rPr>
        <w:t>Econometrica</w:t>
      </w:r>
      <w:proofErr w:type="spellEnd"/>
      <w:r w:rsidRPr="00F47D24">
        <w:rPr>
          <w:i/>
          <w:iCs/>
        </w:rPr>
        <w:t>: Journal of the econometric society</w:t>
      </w:r>
      <w:r w:rsidRPr="00F47D24">
        <w:t>, 357-384.</w:t>
      </w:r>
    </w:p>
    <w:p w14:paraId="4F30E979" w14:textId="77777777" w:rsidR="00F47D24" w:rsidRDefault="00F47D24" w:rsidP="00F47D24"/>
    <w:p w14:paraId="201F9FC5" w14:textId="77777777" w:rsidR="00F47D24" w:rsidRDefault="00F47D24" w:rsidP="00F47D24">
      <w:r>
        <w:t>Martínez‐</w:t>
      </w:r>
      <w:proofErr w:type="spellStart"/>
      <w:r>
        <w:t>Beneito</w:t>
      </w:r>
      <w:proofErr w:type="spellEnd"/>
      <w:r>
        <w:t>, M. A., Conesa, D., López‐</w:t>
      </w:r>
      <w:proofErr w:type="spellStart"/>
      <w:r>
        <w:t>Quílez</w:t>
      </w:r>
      <w:proofErr w:type="spellEnd"/>
      <w:r>
        <w:t>, A., &amp; López‐</w:t>
      </w:r>
      <w:proofErr w:type="spellStart"/>
      <w:r>
        <w:t>Maside</w:t>
      </w:r>
      <w:proofErr w:type="spellEnd"/>
      <w:r>
        <w:t xml:space="preserve">, A. (2008). Bayesian Markov switching models for the early detection of influenza epidemics. </w:t>
      </w:r>
      <w:r>
        <w:rPr>
          <w:i/>
          <w:iCs/>
        </w:rPr>
        <w:t>Statistics in medicine</w:t>
      </w:r>
      <w:r>
        <w:t xml:space="preserve">, </w:t>
      </w:r>
      <w:r>
        <w:rPr>
          <w:i/>
          <w:iCs/>
        </w:rPr>
        <w:t>27</w:t>
      </w:r>
      <w:r>
        <w:t>(22), 4455-4468.</w:t>
      </w:r>
    </w:p>
    <w:p w14:paraId="0F15781B" w14:textId="77777777" w:rsidR="00F47D24" w:rsidRDefault="00F47D24" w:rsidP="00F47D24"/>
    <w:p w14:paraId="2044703B" w14:textId="77777777" w:rsidR="00F47D24" w:rsidRDefault="00F47D24" w:rsidP="00F47D24">
      <w:proofErr w:type="spellStart"/>
      <w:r>
        <w:t>Unkel</w:t>
      </w:r>
      <w:proofErr w:type="spellEnd"/>
      <w:r>
        <w:t xml:space="preserve">, S., Farrington, C. P., Garthwaite, P. H., Robertson, C., &amp; Andrews, N. (2012). Statistical methods for the prospective detection of infectious disease outbreaks: a review. </w:t>
      </w:r>
      <w:r>
        <w:rPr>
          <w:i/>
          <w:iCs/>
        </w:rPr>
        <w:t>Journal of the Royal Statistical Society: Series A (Statistics in Society)</w:t>
      </w:r>
      <w:r>
        <w:t xml:space="preserve">, </w:t>
      </w:r>
      <w:r>
        <w:rPr>
          <w:i/>
          <w:iCs/>
        </w:rPr>
        <w:t>175</w:t>
      </w:r>
      <w:r>
        <w:t>(1), 49-82.</w:t>
      </w:r>
    </w:p>
    <w:p w14:paraId="28A0BEAC" w14:textId="77777777" w:rsidR="00F47D24" w:rsidRDefault="00F47D24" w:rsidP="00F47D24"/>
    <w:p w14:paraId="1509BF80" w14:textId="77777777" w:rsidR="00F47D24" w:rsidRPr="00F47D24" w:rsidRDefault="00F47D24" w:rsidP="00F47D24"/>
    <w:p w14:paraId="2C0487D0" w14:textId="57D969F6" w:rsidR="0078148E" w:rsidRDefault="0078148E" w:rsidP="0078148E"/>
    <w:sectPr w:rsidR="0078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EC82" w14:textId="77777777" w:rsidR="005D49ED" w:rsidRDefault="005D49ED" w:rsidP="00747F65">
      <w:r>
        <w:separator/>
      </w:r>
    </w:p>
  </w:endnote>
  <w:endnote w:type="continuationSeparator" w:id="0">
    <w:p w14:paraId="54F4912B" w14:textId="77777777" w:rsidR="005D49ED" w:rsidRDefault="005D49ED" w:rsidP="0074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4A2F" w14:textId="77777777" w:rsidR="005D49ED" w:rsidRDefault="005D49ED" w:rsidP="00747F65">
      <w:r>
        <w:separator/>
      </w:r>
    </w:p>
  </w:footnote>
  <w:footnote w:type="continuationSeparator" w:id="0">
    <w:p w14:paraId="640EA625" w14:textId="77777777" w:rsidR="005D49ED" w:rsidRDefault="005D49ED" w:rsidP="00747F65">
      <w:r>
        <w:continuationSeparator/>
      </w:r>
    </w:p>
  </w:footnote>
  <w:footnote w:id="1">
    <w:p w14:paraId="5527D168" w14:textId="44CAC129" w:rsidR="00747F65" w:rsidRDefault="00747F65">
      <w:pPr>
        <w:pStyle w:val="FootnoteText"/>
      </w:pPr>
      <w:r>
        <w:rPr>
          <w:rStyle w:val="FootnoteReference"/>
        </w:rPr>
        <w:footnoteRef/>
      </w:r>
      <w:r>
        <w:t xml:space="preserve"> The log-normal has a long right tail which makes it suitable to approximate the distribution of mortality from infectious diseases.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2F"/>
    <w:rsid w:val="000F3DEE"/>
    <w:rsid w:val="00155F97"/>
    <w:rsid w:val="00163CB1"/>
    <w:rsid w:val="001C2C9C"/>
    <w:rsid w:val="001C6146"/>
    <w:rsid w:val="00242E32"/>
    <w:rsid w:val="005100EF"/>
    <w:rsid w:val="005D30DC"/>
    <w:rsid w:val="005D49ED"/>
    <w:rsid w:val="00640D55"/>
    <w:rsid w:val="00670251"/>
    <w:rsid w:val="006C27FB"/>
    <w:rsid w:val="0073126A"/>
    <w:rsid w:val="00747F65"/>
    <w:rsid w:val="0078148E"/>
    <w:rsid w:val="007C4C2F"/>
    <w:rsid w:val="008B65A3"/>
    <w:rsid w:val="00A0237B"/>
    <w:rsid w:val="00AF5356"/>
    <w:rsid w:val="00B334BE"/>
    <w:rsid w:val="00BF583E"/>
    <w:rsid w:val="00C0544C"/>
    <w:rsid w:val="00CA5D47"/>
    <w:rsid w:val="00D60F8D"/>
    <w:rsid w:val="00D64F7F"/>
    <w:rsid w:val="00E421B7"/>
    <w:rsid w:val="00F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7B34"/>
  <w15:chartTrackingRefBased/>
  <w15:docId w15:val="{B3A7877B-C154-4D99-A699-F88D0FFC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F6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47F65"/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F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F6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7F65"/>
    <w:rPr>
      <w:color w:val="808080"/>
    </w:rPr>
  </w:style>
  <w:style w:type="table" w:styleId="TableGrid">
    <w:name w:val="Table Grid"/>
    <w:basedOn w:val="TableNormal"/>
    <w:uiPriority w:val="39"/>
    <w:rsid w:val="005D3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170E-7F13-498A-ADDE-7A154159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Schröder</dc:creator>
  <cp:keywords/>
  <dc:description/>
  <cp:lastModifiedBy>Rebecca Mancy</cp:lastModifiedBy>
  <cp:revision>20</cp:revision>
  <dcterms:created xsi:type="dcterms:W3CDTF">2023-04-25T14:43:00Z</dcterms:created>
  <dcterms:modified xsi:type="dcterms:W3CDTF">2024-04-29T11:07:00Z</dcterms:modified>
</cp:coreProperties>
</file>