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Helvetica Neue" w:cs="Helvetica Neue" w:eastAsia="Helvetica Neue" w:hAnsi="Helvetica Neue"/>
          <w:sz w:val="36"/>
          <w:szCs w:val="36"/>
        </w:rPr>
      </w:pPr>
      <w:bookmarkStart w:colFirst="0" w:colLast="0" w:name="_ppc1spbi65r1" w:id="0"/>
      <w:bookmarkEnd w:id="0"/>
      <w:r w:rsidDel="00000000" w:rsidR="00000000" w:rsidRPr="00000000">
        <w:rPr>
          <w:rFonts w:ascii="Helvetica Neue" w:cs="Helvetica Neue" w:eastAsia="Helvetica Neue" w:hAnsi="Helvetica Neue"/>
          <w:sz w:val="36"/>
          <w:szCs w:val="36"/>
          <w:rtl w:val="0"/>
        </w:rPr>
        <w:t xml:space="preserve">Text as Texture</w:t>
      </w:r>
    </w:p>
    <w:p w:rsidR="00000000" w:rsidDel="00000000" w:rsidP="00000000" w:rsidRDefault="00000000" w:rsidRPr="00000000" w14:paraId="0000000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Pieces: </w:t>
      </w:r>
    </w:p>
    <w:p w:rsidR="00000000" w:rsidDel="00000000" w:rsidP="00000000" w:rsidRDefault="00000000" w:rsidRPr="00000000" w14:paraId="0000000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madness, my mind (2024) </w:t>
      </w:r>
    </w:p>
    <w:p w:rsidR="00000000" w:rsidDel="00000000" w:rsidP="00000000" w:rsidRDefault="00000000" w:rsidRPr="00000000" w14:paraId="0000000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what's left when the tide ebbs? (2024)</w:t>
      </w:r>
    </w:p>
    <w:p w:rsidR="00000000" w:rsidDel="00000000" w:rsidP="00000000" w:rsidRDefault="00000000" w:rsidRPr="00000000" w14:paraId="0000000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tired of all these physical parts (2024)</w:t>
      </w:r>
    </w:p>
    <w:p w:rsidR="00000000" w:rsidDel="00000000" w:rsidP="00000000" w:rsidRDefault="00000000" w:rsidRPr="00000000" w14:paraId="0000000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Description: </w:t>
        <w:br w:type="textWrapping"/>
      </w:r>
      <w:r w:rsidDel="00000000" w:rsidR="00000000" w:rsidRPr="00000000">
        <w:rPr>
          <w:rFonts w:ascii="Helvetica Neue" w:cs="Helvetica Neue" w:eastAsia="Helvetica Neue" w:hAnsi="Helvetica Neue"/>
          <w:rtl w:val="0"/>
        </w:rPr>
        <w:t xml:space="preserve">Text is both seen and read. Even before extracting semantic meaning, a viewer encounters the visual fact of language—its form, pattern, and typography. Artists have long explored this relationship between visual and semantic meaning, from calligrams and concrete poetry to contemporary typographic art.</w:t>
      </w:r>
    </w:p>
    <w:p w:rsidR="00000000" w:rsidDel="00000000" w:rsidP="00000000" w:rsidRDefault="00000000" w:rsidRPr="00000000" w14:paraId="0000000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body of work investigates how text moves along a spectrum between legibility and abstraction, meaning and dissolution.</w:t>
      </w:r>
    </w:p>
    <w:p w:rsidR="00000000" w:rsidDel="00000000" w:rsidP="00000000" w:rsidRDefault="00000000" w:rsidRPr="00000000" w14:paraId="0000000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part of this exploration, I developed a text-based drawing system that treats language as material—ink, sediment, spray—forming contours, fields, and landscapes through variations in density and texture. Words can be pushed, scattered, or layered like particles, sometimes resolving into language and sometimes dissolving into image. In this way, text becomes both mark and meaning.</w:t>
      </w:r>
    </w:p>
    <w:p w:rsidR="00000000" w:rsidDel="00000000" w:rsidP="00000000" w:rsidRDefault="00000000" w:rsidRPr="00000000" w14:paraId="0000000B">
      <w:pPr>
        <w:spacing w:after="240" w:before="240" w:lineRule="auto"/>
        <w:ind w:left="0" w:right="60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three pieces trace different states of mind. The first evokes the mind at a threshold, on the verge of transcendence. The second lingers in the aftermath—near clarity—uneasy: will the epiphanies dissolve like sea foam? The final piece juxtaposes the vivid interiority of thought with the tired body in which it unfolds.</w:t>
      </w:r>
    </w:p>
    <w:p w:rsidR="00000000" w:rsidDel="00000000" w:rsidP="00000000" w:rsidRDefault="00000000" w:rsidRPr="00000000" w14:paraId="0000000C">
      <w:pPr>
        <w:spacing w:after="240" w:before="240" w:lineRule="auto"/>
        <w:ind w:left="0" w:right="600" w:firstLine="0"/>
        <w:rPr>
          <w:rFonts w:ascii="Helvetica Neue Light" w:cs="Helvetica Neue Light" w:eastAsia="Helvetica Neue Light" w:hAnsi="Helvetica Neue Light"/>
          <w:i w:val="1"/>
          <w:iCs w:val="1"/>
        </w:rPr>
      </w:pPr>
      <w:r w:rsidDel="00000000" w:rsidR="00000000" w:rsidRPr="00000000">
        <w:rPr>
          <w:rFonts w:ascii="Helvetica Neue" w:cs="Helvetica Neue" w:eastAsia="Helvetica Neue" w:hAnsi="Helvetica Neue"/>
          <w:b w:val="1"/>
          <w:bCs w:val="1"/>
          <w:rtl w:val="0"/>
        </w:rPr>
        <w:t xml:space="preserve">Associated Media: </w:t>
      </w:r>
      <w:r w:rsidDel="00000000" w:rsidR="00000000" w:rsidRPr="00000000">
        <w:rPr>
          <w:rFonts w:ascii="Helvetica Neue Light" w:cs="Helvetica Neue Light" w:eastAsia="Helvetica Neue Light" w:hAnsi="Helvetica Neue Light"/>
          <w:rtl w:val="0"/>
        </w:rPr>
        <w:br w:type="textWrapping"/>
      </w:r>
      <w:r w:rsidDel="00000000" w:rsidR="00000000" w:rsidRPr="00000000">
        <w:rPr>
          <w:rFonts w:ascii="Helvetica Neue Light" w:cs="Helvetica Neue Light" w:eastAsia="Helvetica Neue Light" w:hAnsi="Helvetica Neue Light"/>
          <w:i w:val="1"/>
          <w:iCs w:val="1"/>
          <w:rtl w:val="0"/>
        </w:rPr>
        <w:t xml:space="preserve">Media 1-2 shown below; Media 3 is a </w:t>
      </w:r>
      <w:hyperlink r:id="rId6">
        <w:r w:rsidDel="00000000" w:rsidR="00000000" w:rsidRPr="00000000">
          <w:rPr>
            <w:rFonts w:ascii="Helvetica Neue Light" w:cs="Helvetica Neue Light" w:eastAsia="Helvetica Neue Light" w:hAnsi="Helvetica Neue Light"/>
            <w:i w:val="1"/>
            <w:iCs w:val="1"/>
            <w:color w:val="1155cc"/>
            <w:u w:val="single"/>
            <w:rtl w:val="0"/>
          </w:rPr>
          <w:t xml:space="preserve">video</w:t>
        </w:r>
      </w:hyperlink>
      <w:r w:rsidDel="00000000" w:rsidR="00000000" w:rsidRPr="00000000">
        <w:rPr>
          <w:rFonts w:ascii="Helvetica Neue Light" w:cs="Helvetica Neue Light" w:eastAsia="Helvetica Neue Light" w:hAnsi="Helvetica Neue Light"/>
          <w:i w:val="1"/>
          <w:iCs w:val="1"/>
          <w:rtl w:val="0"/>
        </w:rPr>
        <w:t xml:space="preserve">. </w:t>
      </w:r>
    </w:p>
    <w:p w:rsidR="00000000" w:rsidDel="00000000" w:rsidP="00000000" w:rsidRDefault="00000000" w:rsidRPr="00000000" w14:paraId="0000000D">
      <w:pPr>
        <w:spacing w:after="240" w:before="240" w:lineRule="auto"/>
        <w:ind w:left="0" w:right="600" w:firstLine="0"/>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Pr>
        <w:drawing>
          <wp:inline distB="114300" distT="114300" distL="114300" distR="114300">
            <wp:extent cx="1828800" cy="1828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28800" cy="1828800"/>
                    </a:xfrm>
                    <a:prstGeom prst="rect"/>
                    <a:ln/>
                  </pic:spPr>
                </pic:pic>
              </a:graphicData>
            </a:graphic>
          </wp:inline>
        </w:drawing>
      </w:r>
      <w:r w:rsidDel="00000000" w:rsidR="00000000" w:rsidRPr="00000000">
        <w:rPr>
          <w:rFonts w:ascii="Helvetica Neue" w:cs="Helvetica Neue" w:eastAsia="Helvetica Neue" w:hAnsi="Helvetica Neue"/>
          <w:b w:val="1"/>
          <w:bCs w:val="1"/>
        </w:rPr>
        <w:drawing>
          <wp:inline distB="114300" distT="114300" distL="114300" distR="114300">
            <wp:extent cx="3255264" cy="1828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55264" cy="1828800"/>
                    </a:xfrm>
                    <a:prstGeom prst="rect"/>
                    <a:ln/>
                  </pic:spPr>
                </pic:pic>
              </a:graphicData>
            </a:graphic>
          </wp:inline>
        </w:drawing>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jc w:val="right"/>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Project 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youtu.be/b8fSCctGX3w"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