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Helvetica Neue" w:cs="Helvetica Neue" w:eastAsia="Helvetica Neue" w:hAnsi="Helvetica Neue"/>
          <w:sz w:val="36"/>
          <w:szCs w:val="36"/>
        </w:rPr>
      </w:pPr>
      <w:bookmarkStart w:colFirst="0" w:colLast="0" w:name="_r5dl79yahyew" w:id="0"/>
      <w:bookmarkEnd w:id="0"/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Encoding–Decoding Constellations III: Textile Studies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Materials: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Cotton 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Dimensions: 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8 in x 11 in reach 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series explores how geometric structure can move from abstract representation into intimate, felt experience. The garment patterns are designed using the encoding–decoding framework introduced in Project 1, then laser-cut, hand-draped, and sewn, bringing together computational fabrication and handcraft.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Associated Media: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</w:rPr>
        <w:drawing>
          <wp:inline distB="114300" distT="114300" distL="114300" distR="114300">
            <wp:extent cx="1702613" cy="256032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613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</w:rPr>
        <w:drawing>
          <wp:inline distB="114300" distT="114300" distL="114300" distR="114300">
            <wp:extent cx="1920240" cy="256032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</w:rPr>
        <w:drawing>
          <wp:inline distB="114300" distT="114300" distL="114300" distR="114300">
            <wp:extent cx="1920240" cy="256032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  <w:rtl w:val="0"/>
      </w:rPr>
      <w:t xml:space="preserve">Project 3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