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Collaboration — Author Notes</w:t>
      </w:r>
    </w:p>
    <w:p>
      <w:pPr>
        <w:pStyle w:val="Heading1"/>
      </w:pPr>
      <w:r>
        <w:t>Alice</w:t>
      </w:r>
    </w:p>
    <w:p>
      <w:r>
        <w:t>Notes for slides 1–5 (Introduction through Data Collection)</w:t>
      </w:r>
    </w:p>
    <w:p>
      <w:pPr>
        <w:pStyle w:val="Heading2"/>
      </w:pPr>
      <w:r>
        <w:t>Slide 1</w:t>
      </w:r>
    </w:p>
    <w:p>
      <w:r>
        <w:t>Slide 1 — Introduction: Emphasize that this study was initiated in response to the 2022 NSF call for collaborative research proposals. Mention the three partner universities: Stanford, NUS, and UCL. Total project duration is 36 months.</w:t>
      </w:r>
    </w:p>
    <w:p>
      <w:pPr>
        <w:pStyle w:val="Heading2"/>
      </w:pPr>
      <w:r>
        <w:t>Slide 2</w:t>
      </w:r>
    </w:p>
    <w:p>
      <w:r>
        <w:t>Slide 2 — Literature Review: Highlight Smith et al. (2018) as the cornerstone paper. Note the critical gap: no prior study combined social network analysis with knowledge management theory in a multi-institutional context. Cite the 47 papers reviewed.</w:t>
      </w:r>
    </w:p>
    <w:p>
      <w:pPr>
        <w:pStyle w:val="Heading2"/>
      </w:pPr>
      <w:r>
        <w:t>Slide 3</w:t>
      </w:r>
    </w:p>
    <w:p>
      <w:r>
        <w:t>Slide 3 — Theoretical Framework: Walk the audience through the conceptual model slowly. H1 posits a positive relationship between trust and knowledge sharing. H2 examines the moderating role of organisational culture. H3 tests boundary conditions under remote-work settings.</w:t>
      </w:r>
    </w:p>
    <w:p>
      <w:pPr>
        <w:pStyle w:val="Heading2"/>
      </w:pPr>
      <w:r>
        <w:t>Slide 4</w:t>
      </w:r>
    </w:p>
    <w:p>
      <w:r>
        <w:t>Slide 4 — Methodology: The mixed-methods design has two phases. Phase 1: online survey across all three universities (N=450). Phase 2: semi-structured interviews (n=30, purposive sampling). Instruments validated via pilot study with 25 respondents.</w:t>
      </w:r>
    </w:p>
    <w:p>
      <w:pPr>
        <w:pStyle w:val="Heading2"/>
      </w:pPr>
      <w:r>
        <w:t>Slide 5</w:t>
      </w:r>
    </w:p>
    <w:p>
      <w:r>
        <w:t>Slide 5 — Data Collection: Survey deployed on Qualtrics, March–June 2024. Response rate: 73%. Interviews conducted via Zoom, average duration 48 minutes. All data anonymised; ethics approval obtained 14 Feb 2024.</w:t>
      </w:r>
    </w:p>
    <w:p>
      <w:pPr>
        <w:pStyle w:val="Heading1"/>
      </w:pPr>
      <w:r>
        <w:t>Bob</w:t>
      </w:r>
    </w:p>
    <w:p>
      <w:r>
        <w:t>Notes for slides 6–10 (Analysis and Results)</w:t>
      </w:r>
    </w:p>
    <w:p>
      <w:pPr>
        <w:pStyle w:val="Heading2"/>
      </w:pPr>
      <w:r>
        <w:t>Slide 6</w:t>
      </w:r>
    </w:p>
    <w:p>
      <w:r>
        <w:t>Slide 6 — Quantitative Results: The Pearson r of 0.78 is remarkably strong for organisational research. Remind audience that N=450 gives substantial statistical power. The regression accounts for 8 control variables including firm size, industry sector, and geographic dispersion.</w:t>
      </w:r>
    </w:p>
    <w:p>
      <w:pPr>
        <w:pStyle w:val="Heading2"/>
      </w:pPr>
      <w:r>
        <w:t>Slide 7</w:t>
      </w:r>
    </w:p>
    <w:p>
      <w:r>
        <w:t>Slide 7 — Hypothesis Testing: For H1, the standardised beta of 0.42 indicates that a 1-SD increase in inter-team trust predicts a 0.42-SD increase in knowledge sharing behaviour. H2 partial support: effect stronger in collectivist cultures. H3 rejection was surprising — see Appendix B for post-hoc analysis.</w:t>
      </w:r>
    </w:p>
    <w:p>
      <w:pPr>
        <w:pStyle w:val="Heading2"/>
      </w:pPr>
      <w:r>
        <w:t>Slide 8</w:t>
      </w:r>
    </w:p>
    <w:p>
      <w:r>
        <w:t>Slide 8 — Qualitative Findings: Thirty interviews across all three sites. Theme 1 (Barriers): time-zone differences and language cited most frequently. Theme 2 (Enablers): shared digital workspaces rated highest utility. Theme 3 (Culture): organisations with flat hierarchies showed 2× higher sharing.</w:t>
      </w:r>
    </w:p>
    <w:p>
      <w:pPr>
        <w:pStyle w:val="Heading2"/>
      </w:pPr>
      <w:r>
        <w:t>Slide 9</w:t>
      </w:r>
    </w:p>
    <w:p>
      <w:r>
        <w:t>Slide 9 — Triangulation: Convergent validity was assessed using a sequential explanatory design. The six divergent cases were re-interviewed; four resolved through richer contextual data. The integrated model uses path coefficients from quantitative phase, interpreted through qualitative narratives.</w:t>
      </w:r>
    </w:p>
    <w:p>
      <w:pPr>
        <w:pStyle w:val="Heading2"/>
      </w:pPr>
      <w:r>
        <w:t>Slide 10</w:t>
      </w:r>
    </w:p>
    <w:p>
      <w:r>
        <w:t>Slide 10 — Robustness: All VIF values below 2.5 confirm no multicollinearity. Shapiro-Wilk p=0.34 means residuals are approximately normal. Bootstrap CIs (1,000 iterations) confirm the main effect is stable. Sensitivity analysis removing outliers (n=12) did not change conclusions.</w:t>
      </w:r>
    </w:p>
    <w:p>
      <w:pPr>
        <w:pStyle w:val="Heading1"/>
      </w:pPr>
      <w:r>
        <w:t>Carol</w:t>
      </w:r>
    </w:p>
    <w:p>
      <w:r>
        <w:t>Notes for slides 11–15 (Discussion through References)</w:t>
      </w:r>
    </w:p>
    <w:p>
      <w:pPr>
        <w:pStyle w:val="Heading2"/>
      </w:pPr>
      <w:r>
        <w:t>Slide 11</w:t>
      </w:r>
    </w:p>
    <w:p>
      <w:r>
        <w:t>Slide 11 — Theoretical Implications: Our findings extend Social Exchange Theory by demonstrating that reciprocity norms operate differently across virtual and co-located teams. This directly challenges Kim &amp; Lee (2019) who found no significant trust-sharing link in virtual contexts.</w:t>
      </w:r>
    </w:p>
    <w:p>
      <w:pPr>
        <w:pStyle w:val="Heading2"/>
      </w:pPr>
      <w:r>
        <w:t>Slide 12</w:t>
      </w:r>
    </w:p>
    <w:p>
      <w:r>
        <w:t>Slide 12 — Practical Implications: Recommend three-tier intervention: (1) trust-building workshops in project kick-off weeks, (2) structured knowledge-sharing platforms with incentive mechanisms, (3) cultural competency training for international team leads. ROI estimated at 18% productivity gain based on case studies.</w:t>
      </w:r>
    </w:p>
    <w:p>
      <w:pPr>
        <w:pStyle w:val="Heading2"/>
      </w:pPr>
      <w:r>
        <w:t>Slide 13</w:t>
      </w:r>
    </w:p>
    <w:p>
      <w:r>
        <w:t>Slide 13 — Limitations: Geographic scope is the main limitation — results may not generalise to EMEA or Americas. The cross-sectional design cannot establish causality; proposed 3-year longitudinal follow-up study is in ethics review. Also note that all surveys were self-reported.</w:t>
      </w:r>
    </w:p>
    <w:p>
      <w:pPr>
        <w:pStyle w:val="Heading2"/>
      </w:pPr>
      <w:r>
        <w:t>Slide 14</w:t>
      </w:r>
    </w:p>
    <w:p>
      <w:r>
        <w:t>Slide 14 — Conclusion: We have answered all three research questions. Main contribution: first empirical evidence of trust-knowledge sharing link in a tri-institutional virtual collaboration. Practical tools are freely available at the project website (research-collab.org).</w:t>
      </w:r>
    </w:p>
    <w:p>
      <w:pPr>
        <w:pStyle w:val="Heading2"/>
      </w:pPr>
      <w:r>
        <w:t>Slide 15</w:t>
      </w:r>
    </w:p>
    <w:p>
      <w:r>
        <w:t>Slide 15 — References: Full bibliography is in the supplementary PDF shared via the conference portal. Grant acknowledgement: NRF #2024-CRS-007. Special thanks to the 450 participants and our research assistants Priya Sharma, David Wong, and Emma Fischer.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