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Service Level Agreement</w:t>
      </w:r>
    </w:p>
    <w:p>
      <w:pPr>
        <w:jc w:val="center"/>
      </w:pPr>
      <w:r>
        <w:rPr>
          <w:sz w:val="28"/>
        </w:rPr>
        <w:t>Between Meridian Technologies Inc. and Apex Digital Solutions Ltd.</w:t>
      </w:r>
    </w:p>
    <w:p>
      <w:pPr>
        <w:jc w:val="center"/>
      </w:pPr>
      <w:r>
        <w:rPr>
          <w:sz w:val="24"/>
        </w:rPr>
        <w:t>Effective Date: March 15, 2024</w:t>
      </w:r>
    </w:p>
    <w:p>
      <w:pPr>
        <w:jc w:val="center"/>
      </w:pPr>
      <w:r>
        <w:rPr>
          <w:sz w:val="22"/>
        </w:rPr>
        <w:t>Contract Reference: SLA-2024-0472</w:t>
      </w:r>
    </w:p>
    <w:p>
      <w:pPr>
        <w:jc w:val="center"/>
      </w:pPr>
      <w:r>
        <w:rPr>
          <w:b/>
          <w:sz w:val="32"/>
        </w:rPr>
        <w:t>CONFIDENTIAL</w:t>
      </w:r>
    </w:p>
    <w:p>
      <w:r>
        <w:br w:type="page"/>
      </w:r>
    </w:p>
    <w:p>
      <w:pPr>
        <w:pStyle w:val="Heading1"/>
      </w:pPr>
      <w:r>
        <w:t>1. Definitions and Scope</w:t>
      </w:r>
    </w:p>
    <w:p>
      <w:r>
        <w:t>This Service Level Agreement ("Agreement") defines the expected service levels, responsibilities, and remedies between Meridian Technologies Inc. ("Provider") and Apex Digital Solutions Ltd. ("Client") for all managed IT infrastructure services delivered under Master Services Agreement MSA-2024-0198.</w:t>
      </w:r>
    </w:p>
    <w:p>
      <w:pPr>
        <w:pStyle w:val="Heading2"/>
      </w:pPr>
      <w:r>
        <w:t>1.1 Service Categories</w:t>
      </w:r>
    </w:p>
    <w:p>
      <w:r>
        <w:t>The following service categories are covered under this Agreement:</w:t>
      </w:r>
    </w:p>
    <w:p>
      <w:pPr>
        <w:pStyle w:val="ListBullet"/>
      </w:pPr>
      <w:r>
        <w:t>Cloud Infrastructure Management — provisioning, monitoring, and maintenance of AWS and Azure environments including EC2 instances, S3 storage, and RDS databases.</w:t>
      </w:r>
    </w:p>
    <w:p>
      <w:pPr>
        <w:pStyle w:val="ListBullet"/>
      </w:pPr>
      <w:r>
        <w:t>Network Operations — management of SD-WAN connectivity across 14 office locations, firewall administration, and VPN gateway maintenance.</w:t>
      </w:r>
    </w:p>
    <w:p>
      <w:pPr>
        <w:pStyle w:val="ListBullet"/>
      </w:pPr>
      <w:r>
        <w:t>Help Desk Support — Tier 1 through Tier 3 technical support for approximately 2,300 end users across all Client facilities.</w:t>
      </w:r>
    </w:p>
    <w:p>
      <w:pPr>
        <w:pStyle w:val="ListBullet"/>
      </w:pPr>
      <w:r>
        <w:t>Security Operations — 24/7 SOC monitoring, vulnerability scanning, patch management, and incident response coordination.</w:t>
      </w:r>
    </w:p>
    <w:p>
      <w:pPr>
        <w:pStyle w:val="ListBullet"/>
      </w:pPr>
      <w:r>
        <w:t>Backup and Disaster Recovery — daily incremental and weekly full backups with geo-redundant replication to secondary data center in Phoenix, AZ.</w:t>
      </w:r>
    </w:p>
    <w:p>
      <w:pPr>
        <w:pStyle w:val="Heading2"/>
      </w:pPr>
      <w:r>
        <w:t>1.2 Exclusions</w:t>
      </w:r>
    </w:p>
    <w:p>
      <w:r>
        <w:t>The following are explicitly excluded from this Agreement: custom software development, end-user hardware procurement, physical facility security, and any services related to legacy mainframe systems scheduled for decommission prior to Q4 2024.</w:t>
      </w:r>
    </w:p>
    <w:p>
      <w:r>
        <w:br w:type="page"/>
      </w:r>
    </w:p>
    <w:p>
      <w:pPr>
        <w:pStyle w:val="Heading1"/>
      </w:pPr>
      <w:r>
        <w:t>2. Service Level Targets</w:t>
      </w:r>
    </w:p>
    <w:p>
      <w:pPr>
        <w:pStyle w:val="Heading2"/>
      </w:pPr>
      <w:r>
        <w:t>2.1 Availability</w:t>
      </w:r>
    </w:p>
    <w:p>
      <w:r>
        <w:t>The Provider guarantees a minimum monthly uptime of 99.95% for all Tier 1 production systems, measured using synthetic monitoring from three geographically distributed checkpoints. Scheduled maintenance windows (Sundays 02:00-06:00 EST) are excluded from availability calculations.</w:t>
      </w:r>
    </w:p>
    <w:p>
      <w:pPr>
        <w:pStyle w:val="Heading2"/>
      </w:pPr>
      <w:r>
        <w:t>2.2 Response Times</w:t>
      </w:r>
    </w:p>
    <w:p>
      <w:r>
        <w:t>Response time commitments by severity 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Description</w:t>
            </w:r>
          </w:p>
        </w:tc>
        <w:tc>
          <w:tcPr>
            <w:tcW w:type="dxa" w:w="2160"/>
          </w:tcPr>
          <w:p>
            <w:r>
              <w:rPr>
                <w:b/>
              </w:rPr>
              <w:t>Response Time</w:t>
            </w:r>
          </w:p>
        </w:tc>
        <w:tc>
          <w:tcPr>
            <w:tcW w:type="dxa" w:w="2160"/>
          </w:tcPr>
          <w:p>
            <w:r>
              <w:rPr>
                <w:b/>
              </w:rPr>
              <w:t>Resolution Target</w:t>
            </w:r>
          </w:p>
        </w:tc>
      </w:tr>
      <w:tr>
        <w:tc>
          <w:tcPr>
            <w:tcW w:type="dxa" w:w="2160"/>
          </w:tcPr>
          <w:p>
            <w:r>
              <w:t>P1 - Critical</w:t>
            </w:r>
          </w:p>
        </w:tc>
        <w:tc>
          <w:tcPr>
            <w:tcW w:type="dxa" w:w="2160"/>
          </w:tcPr>
          <w:p>
            <w:r>
              <w:t>Production system down</w:t>
            </w:r>
          </w:p>
        </w:tc>
        <w:tc>
          <w:tcPr>
            <w:tcW w:type="dxa" w:w="2160"/>
          </w:tcPr>
          <w:p>
            <w:r>
              <w:t>15 minutes</w:t>
            </w:r>
          </w:p>
        </w:tc>
        <w:tc>
          <w:tcPr>
            <w:tcW w:type="dxa" w:w="2160"/>
          </w:tcPr>
          <w:p>
            <w:r>
              <w:t>4 hours</w:t>
            </w:r>
          </w:p>
        </w:tc>
      </w:tr>
      <w:tr>
        <w:tc>
          <w:tcPr>
            <w:tcW w:type="dxa" w:w="2160"/>
          </w:tcPr>
          <w:p>
            <w:r>
              <w:t>P2 - High</w:t>
            </w:r>
          </w:p>
        </w:tc>
        <w:tc>
          <w:tcPr>
            <w:tcW w:type="dxa" w:w="2160"/>
          </w:tcPr>
          <w:p>
            <w:r>
              <w:t>Major feature impaired</w:t>
            </w:r>
          </w:p>
        </w:tc>
        <w:tc>
          <w:tcPr>
            <w:tcW w:type="dxa" w:w="2160"/>
          </w:tcPr>
          <w:p>
            <w:r>
              <w:t>30 minutes</w:t>
            </w:r>
          </w:p>
        </w:tc>
        <w:tc>
          <w:tcPr>
            <w:tcW w:type="dxa" w:w="2160"/>
          </w:tcPr>
          <w:p>
            <w:r>
              <w:t>8 hours</w:t>
            </w:r>
          </w:p>
        </w:tc>
      </w:tr>
      <w:tr>
        <w:tc>
          <w:tcPr>
            <w:tcW w:type="dxa" w:w="2160"/>
          </w:tcPr>
          <w:p>
            <w:r>
              <w:t>P3 - Medium</w:t>
            </w:r>
          </w:p>
        </w:tc>
        <w:tc>
          <w:tcPr>
            <w:tcW w:type="dxa" w:w="2160"/>
          </w:tcPr>
          <w:p>
            <w:r>
              <w:t>Minor feature impaired</w:t>
            </w:r>
          </w:p>
        </w:tc>
        <w:tc>
          <w:tcPr>
            <w:tcW w:type="dxa" w:w="2160"/>
          </w:tcPr>
          <w:p>
            <w:r>
              <w:t>2 hours</w:t>
            </w:r>
          </w:p>
        </w:tc>
        <w:tc>
          <w:tcPr>
            <w:tcW w:type="dxa" w:w="2160"/>
          </w:tcPr>
          <w:p>
            <w:r>
              <w:t>24 hours</w:t>
            </w:r>
          </w:p>
        </w:tc>
      </w:tr>
      <w:tr>
        <w:tc>
          <w:tcPr>
            <w:tcW w:type="dxa" w:w="2160"/>
          </w:tcPr>
          <w:p>
            <w:r>
              <w:t>P4 - Low</w:t>
            </w:r>
          </w:p>
        </w:tc>
        <w:tc>
          <w:tcPr>
            <w:tcW w:type="dxa" w:w="2160"/>
          </w:tcPr>
          <w:p>
            <w:r>
              <w:t>Information request</w:t>
            </w:r>
          </w:p>
        </w:tc>
        <w:tc>
          <w:tcPr>
            <w:tcW w:type="dxa" w:w="2160"/>
          </w:tcPr>
          <w:p>
            <w:r>
              <w:t>4 hours</w:t>
            </w:r>
          </w:p>
        </w:tc>
        <w:tc>
          <w:tcPr>
            <w:tcW w:type="dxa" w:w="2160"/>
          </w:tcPr>
          <w:p>
            <w:r>
              <w:t>72 hours</w:t>
            </w:r>
          </w:p>
        </w:tc>
      </w:tr>
    </w:tbl>
    <w:p/>
    <w:p>
      <w:r>
        <w:t>All response times are measured from the moment a valid ticket is created in the ServiceNow platform. Auto-generated alerts from monitoring systems are treated as valid ticket submissions.</w:t>
      </w:r>
    </w:p>
    <w:p>
      <w:pPr>
        <w:pStyle w:val="Heading2"/>
      </w:pPr>
      <w:r>
        <w:t>2.3 Performance Metrics</w:t>
      </w:r>
    </w:p>
    <w:p>
      <w:r>
        <w:t>Key performance indicators shall be tracked monthly and reported in the quarterly business review. Target metrics include: mean time to resolution (MTTR) under 6 hours for P1/P2 incidents, first-call resolution rate above 75% for Tier 1 support, and customer satisfaction score (CSAT) above 4.2/5.0.</w:t>
      </w:r>
    </w:p>
    <w:p>
      <w:r>
        <w:br w:type="page"/>
      </w:r>
    </w:p>
    <w:p>
      <w:pPr>
        <w:pStyle w:val="Heading1"/>
      </w:pPr>
      <w:r>
        <w:t>3. Financial Terms and Service Credits</w:t>
      </w:r>
    </w:p>
    <w:p>
      <w:pPr>
        <w:pStyle w:val="Heading2"/>
      </w:pPr>
      <w:r>
        <w:t>3.1 Monthly Service Fee</w:t>
      </w:r>
    </w:p>
    <w:p>
      <w:r>
        <w:t>The total monthly service fee for all categories defined in Section 1.1 is $187,500.00 USD, payable within 30 days of invoice date. Annual escalation shall not exceed 3.5% and requires 90 days written notice.</w:t>
      </w:r>
    </w:p>
    <w:p>
      <w:pPr>
        <w:pStyle w:val="Heading2"/>
      </w:pPr>
      <w:r>
        <w:t>3.2 Service Credit Schedule</w:t>
      </w:r>
    </w:p>
    <w:p>
      <w:r>
        <w:t>In the event that Provider fails to meet the service level targets defined in Section 2, the following service credits shall apply: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Availability Level</w:t>
            </w:r>
          </w:p>
        </w:tc>
        <w:tc>
          <w:tcPr>
            <w:tcW w:type="dxa" w:w="2880"/>
          </w:tcPr>
          <w:p>
            <w:r>
              <w:rPr>
                <w:b/>
              </w:rPr>
              <w:t>Credit Percentage</w:t>
            </w:r>
          </w:p>
        </w:tc>
        <w:tc>
          <w:tcPr>
            <w:tcW w:type="dxa" w:w="2880"/>
          </w:tcPr>
          <w:p>
            <w:r>
              <w:rPr>
                <w:b/>
              </w:rPr>
              <w:t>Maximum Monthly Credit</w:t>
            </w:r>
          </w:p>
        </w:tc>
      </w:tr>
      <w:tr>
        <w:tc>
          <w:tcPr>
            <w:tcW w:type="dxa" w:w="2880"/>
          </w:tcPr>
          <w:p>
            <w:r>
              <w:t>99.90% - 99.94%</w:t>
            </w:r>
          </w:p>
        </w:tc>
        <w:tc>
          <w:tcPr>
            <w:tcW w:type="dxa" w:w="2880"/>
          </w:tcPr>
          <w:p>
            <w:r>
              <w:t>5%</w:t>
            </w:r>
          </w:p>
        </w:tc>
        <w:tc>
          <w:tcPr>
            <w:tcW w:type="dxa" w:w="2880"/>
          </w:tcPr>
          <w:p>
            <w:r>
              <w:t>$9,375.00</w:t>
            </w:r>
          </w:p>
        </w:tc>
      </w:tr>
      <w:tr>
        <w:tc>
          <w:tcPr>
            <w:tcW w:type="dxa" w:w="2880"/>
          </w:tcPr>
          <w:p>
            <w:r>
              <w:t>99.50% - 99.89%</w:t>
            </w:r>
          </w:p>
        </w:tc>
        <w:tc>
          <w:tcPr>
            <w:tcW w:type="dxa" w:w="2880"/>
          </w:tcPr>
          <w:p>
            <w:r>
              <w:t>10%</w:t>
            </w:r>
          </w:p>
        </w:tc>
        <w:tc>
          <w:tcPr>
            <w:tcW w:type="dxa" w:w="2880"/>
          </w:tcPr>
          <w:p>
            <w:r>
              <w:t>$18,750.00</w:t>
            </w:r>
          </w:p>
        </w:tc>
      </w:tr>
      <w:tr>
        <w:tc>
          <w:tcPr>
            <w:tcW w:type="dxa" w:w="2880"/>
          </w:tcPr>
          <w:p>
            <w:r>
              <w:t>99.00% - 99.49%</w:t>
            </w:r>
          </w:p>
        </w:tc>
        <w:tc>
          <w:tcPr>
            <w:tcW w:type="dxa" w:w="2880"/>
          </w:tcPr>
          <w:p>
            <w:r>
              <w:t>20%</w:t>
            </w:r>
          </w:p>
        </w:tc>
        <w:tc>
          <w:tcPr>
            <w:tcW w:type="dxa" w:w="2880"/>
          </w:tcPr>
          <w:p>
            <w:r>
              <w:t>$37,500.00</w:t>
            </w:r>
          </w:p>
        </w:tc>
      </w:tr>
      <w:tr>
        <w:tc>
          <w:tcPr>
            <w:tcW w:type="dxa" w:w="2880"/>
          </w:tcPr>
          <w:p>
            <w:r>
              <w:t>Below 99.00%</w:t>
            </w:r>
          </w:p>
        </w:tc>
        <w:tc>
          <w:tcPr>
            <w:tcW w:type="dxa" w:w="2880"/>
          </w:tcPr>
          <w:p>
            <w:r>
              <w:t>30%</w:t>
            </w:r>
          </w:p>
        </w:tc>
        <w:tc>
          <w:tcPr>
            <w:tcW w:type="dxa" w:w="2880"/>
          </w:tcPr>
          <w:p>
            <w:r>
              <w:t>$56,250.00</w:t>
            </w:r>
          </w:p>
        </w:tc>
      </w:tr>
    </w:tbl>
    <w:p/>
    <w:p>
      <w:r>
        <w:t>Service credits are applied to the following month's invoice and do not accumulate across billing periods. Client must submit credit requests within 15 business days of the affected service period.</w:t>
      </w:r>
    </w:p>
    <w:p>
      <w:pPr>
        <w:pStyle w:val="Heading2"/>
      </w:pPr>
      <w:r>
        <w:t>3.3 Dispute Resolution</w:t>
      </w:r>
    </w:p>
    <w:p>
      <w:r>
        <w:t>Any disputes regarding service level measurements shall first be escalated to the joint governance committee. If unresolved within 30 days, disputes shall be submitted to binding arbitration under the rules of the American Arbitration Association in New York, NY.</w:t>
      </w:r>
    </w:p>
    <w:p>
      <w:r>
        <w:br w:type="page"/>
      </w:r>
    </w:p>
    <w:p>
      <w:pPr>
        <w:pStyle w:val="Heading1"/>
      </w:pPr>
      <w:r>
        <w:t>4. Governance and Reporting</w:t>
      </w:r>
    </w:p>
    <w:p>
      <w:pPr>
        <w:pStyle w:val="Heading2"/>
      </w:pPr>
      <w:r>
        <w:t>4.1 Governance Structure</w:t>
      </w:r>
    </w:p>
    <w:p>
      <w:r>
        <w:t>A joint governance committee consisting of two representatives from each party shall meet monthly to review service performance, address escalations, and approve change requests. The committee is co-chaired by the Client's VP of Technology, Rachel Kim, and Provider's Director of Service Delivery, David Park.</w:t>
      </w:r>
    </w:p>
    <w:p>
      <w:pPr>
        <w:pStyle w:val="Heading2"/>
      </w:pPr>
      <w:r>
        <w:t>4.2 Reporting Requirements</w:t>
      </w:r>
    </w:p>
    <w:p>
      <w:r>
        <w:t>The Provider shall deliver the following reports according to the specified schedule:</w:t>
      </w:r>
    </w:p>
    <w:p>
      <w:pPr>
        <w:pStyle w:val="ListBullet"/>
      </w:pPr>
      <w:r>
        <w:t>Weekly Incident Summary — delivered every Monday by 10:00 AM EST, covering all incidents from the previous week with root cause analysis for P1/P2 events.</w:t>
      </w:r>
    </w:p>
    <w:p>
      <w:pPr>
        <w:pStyle w:val="ListBullet"/>
      </w:pPr>
      <w:r>
        <w:t>Monthly SLA Dashboard — comprehensive service level performance metrics with trend analysis, delivered within 5 business days of month-end.</w:t>
      </w:r>
    </w:p>
    <w:p>
      <w:pPr>
        <w:pStyle w:val="ListBullet"/>
      </w:pPr>
      <w:r>
        <w:t>Quarterly Business Review — executive presentation including performance analysis, capacity planning recommendations, and strategic improvement proposals.</w:t>
      </w:r>
    </w:p>
    <w:p>
      <w:pPr>
        <w:pStyle w:val="ListBullet"/>
      </w:pPr>
      <w:r>
        <w:t>Annual Security Assessment — full penetration testing report and compliance audit results for SOC 2 Type II, ISO 27001, and HIPAA requirements.</w:t>
      </w:r>
    </w:p>
    <w:p>
      <w:pPr>
        <w:pStyle w:val="Heading2"/>
      </w:pPr>
      <w:r>
        <w:t>4.3 Change Management</w:t>
      </w:r>
    </w:p>
    <w:p>
      <w:r>
        <w:t>All changes to production systems must follow the ITIL-based change management process. Standard changes require 5 business days notice. Emergency changes may be executed with post-implementation review within 48 hours. The Change Advisory Board meets every Wednesday at 14:00 EST.</w:t>
      </w:r>
    </w:p>
    <w:p>
      <w:r>
        <w:br w:type="page"/>
      </w:r>
    </w:p>
    <w:p>
      <w:pPr>
        <w:pStyle w:val="Heading1"/>
      </w:pPr>
      <w:r>
        <w:t>5. Term, Renewal, and Termination</w:t>
      </w:r>
    </w:p>
    <w:p>
      <w:pPr>
        <w:pStyle w:val="Heading2"/>
      </w:pPr>
      <w:r>
        <w:t>5.1 Initial Term</w:t>
      </w:r>
    </w:p>
    <w:p>
      <w:r>
        <w:t>This Agreement is effective from March 15, 2024 through March 14, 2027 (the "Initial Term"). The Agreement shall automatically renew for successive one-year periods unless either party provides written notice of non-renewal at least 120 days prior to the end of the then-current term.</w:t>
      </w:r>
    </w:p>
    <w:p>
      <w:pPr>
        <w:pStyle w:val="Heading2"/>
      </w:pPr>
      <w:r>
        <w:t>5.2 Termination</w:t>
      </w:r>
    </w:p>
    <w:p>
      <w:r>
        <w:t>Either party may terminate this Agreement for material breach that remains uncured for 60 days after written notice. The Client may terminate without cause with 180 days written notice and payment of an early termination fee equal to six months of service fees.</w:t>
      </w:r>
    </w:p>
    <w:p>
      <w:pPr>
        <w:pStyle w:val="Heading2"/>
      </w:pPr>
      <w:r>
        <w:t>5.3 Transition Assistance</w:t>
      </w:r>
    </w:p>
    <w:p>
      <w:r>
        <w:t>Upon termination or expiration, the Provider shall provide transition assistance for a period of up to 90 days at the then-current hourly rate of $275.00 USD. All Client data shall be transferred in standard formats and Provider shall certify destruction of all Client data within 30 days of transition completion.</w:t>
      </w:r>
    </w:p>
    <w:p/>
    <w:p/>
    <w:p>
      <w:pPr>
        <w:pStyle w:val="Heading1"/>
      </w:pPr>
      <w:r>
        <w:t>Signatures</w:t>
      </w:r>
    </w:p>
    <w:p/>
    <w:p>
      <w:r>
        <w:t>________________________________________</w:t>
        <w:tab/>
        <w:tab/>
        <w:t>________________________________________</w:t>
      </w:r>
    </w:p>
    <w:p>
      <w:r>
        <w:t>James Thornton</w:t>
        <w:tab/>
        <w:tab/>
        <w:tab/>
        <w:tab/>
        <w:t>Rachel Kim</w:t>
      </w:r>
    </w:p>
    <w:p>
      <w:r>
        <w:t>CEO, Meridian Technologies Inc.</w:t>
        <w:tab/>
        <w:tab/>
        <w:t>VP of Technology, Apex Digital Solutions Ltd.</w:t>
      </w:r>
    </w:p>
    <w:p>
      <w:r>
        <w:t>Date: _______________</w:t>
        <w:tab/>
        <w:tab/>
        <w:tab/>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