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Sustainability Report 2024</w:t>
      </w:r>
    </w:p>
    <w:p>
      <w:pPr>
        <w:pStyle w:val="Heading2"/>
      </w:pPr>
      <w:r>
        <w:t>Environmental Stewardship</w:t>
      </w:r>
    </w:p>
    <w:p>
      <w:r>
        <w:t>Our organization has made significant strides in reducing its environmental footprint over the past fiscal year. Total greenhouse gas emissions decreased by 18% compared to the 2023 baseline, exceeding our target of 15%.</w:t>
      </w:r>
    </w:p>
    <w:p>
      <w:r>
        <w:t>Water consumption was reduced by 12% through the implementation of closed-loop cooling systems at our three largest manufacturing facilities. This initiative alone saved approximately 45 million liters of water.</w:t>
      </w:r>
    </w:p>
    <w:p>
      <w:pPr>
        <w:pStyle w:val="Heading2"/>
      </w:pPr>
      <w:r>
        <w:t>Social Responsibility</w:t>
      </w:r>
    </w:p>
    <w:p>
      <w:r>
        <w:t>We invested $8.5 million in community development programs across the 15 municipalities where we operate. Programs included STEM education grants, vocational training partnerships, and affordable housing initiatives.</w:t>
      </w:r>
    </w:p>
    <w:p>
      <w:r>
        <w:t>Employee volunteer hours reached a record 42,000 hours, with 78% of staff participating in at least one community service activity during the year.</w:t>
      </w:r>
    </w:p>
    <w:p>
      <w:pPr>
        <w:pStyle w:val="Heading2"/>
      </w:pPr>
      <w:r>
        <w:t>Governance</w:t>
      </w:r>
    </w:p>
    <w:p>
      <w:r>
        <w:t>The Board of Directors expanded the ESG Committee charter to include oversight of supply chain sustainability practices. A dedicated Chief Sustainability Officer was appointed in June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