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Catalytic Asymmetric Synthesis of Chiral Phosphine Ligands via Palladium-Mediated C–H Activation</w:t>
      </w:r>
    </w:p>
    <w:p>
      <w:pPr>
        <w:jc w:val="center"/>
      </w:pPr>
      <w:r>
        <w:rPr>
          <w:i/>
          <w:sz w:val="22"/>
        </w:rPr>
        <w:t>Dr. Helena Zhao, Prof. Richard Tanaka, Dr. Mei-Lin Wu</w:t>
      </w:r>
    </w:p>
    <w:p>
      <w:pPr>
        <w:jc w:val="center"/>
      </w:pPr>
      <w:r>
        <w:rPr>
          <w:sz w:val="20"/>
        </w:rPr>
        <w:t>Department of Chemistry, Stanford University, Stanford, CA 94305, USA</w:t>
      </w:r>
    </w:p>
    <w:p>
      <w:pPr>
        <w:pStyle w:val="Heading2"/>
      </w:pPr>
      <w:r>
        <w:t>Abstract</w:t>
      </w:r>
    </w:p>
    <w:p>
      <w:pPr>
        <w:spacing w:after="240"/>
      </w:pPr>
      <w:r>
        <w:t>We report a novel palladium-catalyzed C–H activation strategy for the enantioselective synthesis of axially chiral phosphine ligands. Using a newly developed Pd(II)/chiral amino acid catalyst system, a wide range of biaryl phosphine ligands were obtained in up to 97% ee and 92% yield. The methodology was demonstrated in the asymmetric Suzuki–Miyaura coupling of sterically hindered substrates, achieving excellent enantioselectivity (up to 99% ee). Density functional theory (DFT) calculations provided insights into the stereodetermining transition state, revealing a concerted metalation–deprotonation (CMD) mechanism.</w:t>
      </w:r>
    </w:p>
    <w:p>
      <w:pPr>
        <w:pStyle w:val="Heading2"/>
      </w:pPr>
      <w:r>
        <w:t>1. Introduction</w:t>
      </w:r>
    </w:p>
    <w:p>
      <w:r>
        <w:t>Chiral phosphine ligands play a central role in transition-metal-catalyzed asymmetric transformations, enabling precise stereochemical control in numerous bond-forming reactions. Over the past three decades, the development of new chiral ligand scaffolds has driven remarkable advances in asymmetric catalysis, with applications spanning pharmaceutical synthesis, agrochemical production, and materials science.</w:t>
      </w:r>
    </w:p>
    <w:p>
      <w:r>
        <w:t>Despite these advances, the efficient synthesis of axially chiral biaryl phosphines remains a significant challenge. Traditional approaches rely on chiral resolution or stoichiometric chiral auxiliaries, which are inherently wasteful and atom-inefficient. Recent efforts have focused on catalytic asymmetric methods, particularly C–H functionalization strategies that enable direct construction of the chiral axis from readily available starting materials.</w:t>
      </w:r>
    </w:p>
    <w:p>
      <w:r>
        <w:t>Herein, we present a Pd(II)-catalyzed enantioselective C–H activation approach for the synthesis of BINAP-type ligands. Our catalyst system, based on a commercially available Pd(OAc)₂ precatalyst and N-acetyl-L-leucine as the chiral ligand, demonstrates broad substrate scope and excellent functional group tolerance.</w:t>
      </w:r>
    </w:p>
    <w:p>
      <w:pPr>
        <w:pStyle w:val="Heading2"/>
      </w:pPr>
      <w:r>
        <w:t>2. Results and Discussion</w:t>
      </w:r>
    </w:p>
    <w:p>
      <w:pPr>
        <w:pStyle w:val="Heading3"/>
      </w:pPr>
      <w:r>
        <w:t>2.1 Optimization of Reaction Conditions</w:t>
      </w:r>
    </w:p>
    <w:p>
      <w:r>
        <w:t>We began our investigation by examining the Pd-catalyzed C–H activation of model substrate 1a (Table 1). Screening of various Pd(II) catalysts revealed that Pd(OAc)₂ in combination with N-acetyl-L-leucine provided the highest enantioselectivity (entry 5, 94% ee). The reaction was sensitive to both temperature and solvent: optimal results were obtained in 1,2-dichloroethane at 80 °C over 24 hours. Silver acetate (AgOAc, 2.0 equiv) served as an effective oxidant.</w:t>
      </w:r>
    </w:p>
    <w:p/>
    <w:p>
      <w:r>
        <w:rPr>
          <w:b/>
        </w:rPr>
        <w:t xml:space="preserve">Table 1. </w:t>
      </w:r>
      <w:r>
        <w:t>Optimization of reaction conditions for the C–H activation of 1a.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Entry</w:t>
            </w:r>
          </w:p>
        </w:tc>
        <w:tc>
          <w:tcPr>
            <w:tcW w:type="dxa" w:w="1728"/>
          </w:tcPr>
          <w:p>
            <w:r>
              <w:rPr>
                <w:b/>
              </w:rPr>
              <w:t>Catalyst (10 mol%)</w:t>
            </w:r>
          </w:p>
        </w:tc>
        <w:tc>
          <w:tcPr>
            <w:tcW w:type="dxa" w:w="1728"/>
          </w:tcPr>
          <w:p>
            <w:r>
              <w:rPr>
                <w:b/>
              </w:rPr>
              <w:t>Ligand</w:t>
            </w:r>
          </w:p>
        </w:tc>
        <w:tc>
          <w:tcPr>
            <w:tcW w:type="dxa" w:w="1728"/>
          </w:tcPr>
          <w:p>
            <w:r>
              <w:rPr>
                <w:b/>
              </w:rPr>
              <w:t>Yield (%)</w:t>
            </w:r>
          </w:p>
        </w:tc>
        <w:tc>
          <w:tcPr>
            <w:tcW w:type="dxa" w:w="1728"/>
          </w:tcPr>
          <w:p>
            <w:r>
              <w:rPr>
                <w:b/>
              </w:rPr>
              <w:t>ee (%)</w:t>
            </w:r>
          </w:p>
        </w:tc>
      </w:tr>
      <w:tr>
        <w:tc>
          <w:tcPr>
            <w:tcW w:type="dxa" w:w="1728"/>
          </w:tcPr>
          <w:p>
            <w:r>
              <w:t>1</w:t>
            </w:r>
          </w:p>
        </w:tc>
        <w:tc>
          <w:tcPr>
            <w:tcW w:type="dxa" w:w="1728"/>
          </w:tcPr>
          <w:p>
            <w:r>
              <w:t>Pd(OAc)₂</w:t>
            </w:r>
          </w:p>
        </w:tc>
        <w:tc>
          <w:tcPr>
            <w:tcW w:type="dxa" w:w="1728"/>
          </w:tcPr>
          <w:p>
            <w:r>
              <w:t>L-Proline</w:t>
            </w:r>
          </w:p>
        </w:tc>
        <w:tc>
          <w:tcPr>
            <w:tcW w:type="dxa" w:w="1728"/>
          </w:tcPr>
          <w:p>
            <w:r>
              <w:t>45</w:t>
            </w:r>
          </w:p>
        </w:tc>
        <w:tc>
          <w:tcPr>
            <w:tcW w:type="dxa" w:w="1728"/>
          </w:tcPr>
          <w:p>
            <w:r>
              <w:t>32</w:t>
            </w:r>
          </w:p>
        </w:tc>
      </w:tr>
      <w:tr>
        <w:tc>
          <w:tcPr>
            <w:tcW w:type="dxa" w:w="1728"/>
          </w:tcPr>
          <w:p>
            <w:r>
              <w:t>2</w:t>
            </w:r>
          </w:p>
        </w:tc>
        <w:tc>
          <w:tcPr>
            <w:tcW w:type="dxa" w:w="1728"/>
          </w:tcPr>
          <w:p>
            <w:r>
              <w:t>Pd(OAc)₂</w:t>
            </w:r>
          </w:p>
        </w:tc>
        <w:tc>
          <w:tcPr>
            <w:tcW w:type="dxa" w:w="1728"/>
          </w:tcPr>
          <w:p>
            <w:r>
              <w:t>Boc-L-Val-OH</w:t>
            </w:r>
          </w:p>
        </w:tc>
        <w:tc>
          <w:tcPr>
            <w:tcW w:type="dxa" w:w="1728"/>
          </w:tcPr>
          <w:p>
            <w:r>
              <w:t>62</w:t>
            </w:r>
          </w:p>
        </w:tc>
        <w:tc>
          <w:tcPr>
            <w:tcW w:type="dxa" w:w="1728"/>
          </w:tcPr>
          <w:p>
            <w:r>
              <w:t>58</w:t>
            </w:r>
          </w:p>
        </w:tc>
      </w:tr>
      <w:tr>
        <w:tc>
          <w:tcPr>
            <w:tcW w:type="dxa" w:w="1728"/>
          </w:tcPr>
          <w:p>
            <w:r>
              <w:t>3</w:t>
            </w:r>
          </w:p>
        </w:tc>
        <w:tc>
          <w:tcPr>
            <w:tcW w:type="dxa" w:w="1728"/>
          </w:tcPr>
          <w:p>
            <w:r>
              <w:t>PdCl₂</w:t>
            </w:r>
          </w:p>
        </w:tc>
        <w:tc>
          <w:tcPr>
            <w:tcW w:type="dxa" w:w="1728"/>
          </w:tcPr>
          <w:p>
            <w:r>
              <w:t>Ac-L-Leu-OH</w:t>
            </w:r>
          </w:p>
        </w:tc>
        <w:tc>
          <w:tcPr>
            <w:tcW w:type="dxa" w:w="1728"/>
          </w:tcPr>
          <w:p>
            <w:r>
              <w:t>71</w:t>
            </w:r>
          </w:p>
        </w:tc>
        <w:tc>
          <w:tcPr>
            <w:tcW w:type="dxa" w:w="1728"/>
          </w:tcPr>
          <w:p>
            <w:r>
              <w:t>82</w:t>
            </w:r>
          </w:p>
        </w:tc>
      </w:tr>
      <w:tr>
        <w:tc>
          <w:tcPr>
            <w:tcW w:type="dxa" w:w="1728"/>
          </w:tcPr>
          <w:p>
            <w:r>
              <w:t>4</w:t>
            </w:r>
          </w:p>
        </w:tc>
        <w:tc>
          <w:tcPr>
            <w:tcW w:type="dxa" w:w="1728"/>
          </w:tcPr>
          <w:p>
            <w:r>
              <w:t>Pd(OAc)₂</w:t>
            </w:r>
          </w:p>
        </w:tc>
        <w:tc>
          <w:tcPr>
            <w:tcW w:type="dxa" w:w="1728"/>
          </w:tcPr>
          <w:p>
            <w:r>
              <w:t>Ac-D-Leu-OH</w:t>
            </w:r>
          </w:p>
        </w:tc>
        <w:tc>
          <w:tcPr>
            <w:tcW w:type="dxa" w:w="1728"/>
          </w:tcPr>
          <w:p>
            <w:r>
              <w:t>68</w:t>
            </w:r>
          </w:p>
        </w:tc>
        <w:tc>
          <w:tcPr>
            <w:tcW w:type="dxa" w:w="1728"/>
          </w:tcPr>
          <w:p>
            <w:r>
              <w:t>-91</w:t>
            </w:r>
          </w:p>
        </w:tc>
      </w:tr>
      <w:tr>
        <w:tc>
          <w:tcPr>
            <w:tcW w:type="dxa" w:w="1728"/>
          </w:tcPr>
          <w:p>
            <w:r>
              <w:t>5</w:t>
            </w:r>
          </w:p>
        </w:tc>
        <w:tc>
          <w:tcPr>
            <w:tcW w:type="dxa" w:w="1728"/>
          </w:tcPr>
          <w:p>
            <w:r>
              <w:t>Pd(OAc)₂</w:t>
            </w:r>
          </w:p>
        </w:tc>
        <w:tc>
          <w:tcPr>
            <w:tcW w:type="dxa" w:w="1728"/>
          </w:tcPr>
          <w:p>
            <w:r>
              <w:t>Ac-L-Leu-OH</w:t>
            </w:r>
          </w:p>
        </w:tc>
        <w:tc>
          <w:tcPr>
            <w:tcW w:type="dxa" w:w="1728"/>
          </w:tcPr>
          <w:p>
            <w:r>
              <w:t>87</w:t>
            </w:r>
          </w:p>
        </w:tc>
        <w:tc>
          <w:tcPr>
            <w:tcW w:type="dxa" w:w="1728"/>
          </w:tcPr>
          <w:p>
            <w:r>
              <w:t>94</w:t>
            </w:r>
          </w:p>
        </w:tc>
      </w:tr>
      <w:tr>
        <w:tc>
          <w:tcPr>
            <w:tcW w:type="dxa" w:w="1728"/>
          </w:tcPr>
          <w:p>
            <w:r>
              <w:t>6</w:t>
            </w:r>
          </w:p>
        </w:tc>
        <w:tc>
          <w:tcPr>
            <w:tcW w:type="dxa" w:w="1728"/>
          </w:tcPr>
          <w:p>
            <w:r>
              <w:t>Pd(TFA)₂</w:t>
            </w:r>
          </w:p>
        </w:tc>
        <w:tc>
          <w:tcPr>
            <w:tcW w:type="dxa" w:w="1728"/>
          </w:tcPr>
          <w:p>
            <w:r>
              <w:t>Ac-L-Leu-OH</w:t>
            </w:r>
          </w:p>
        </w:tc>
        <w:tc>
          <w:tcPr>
            <w:tcW w:type="dxa" w:w="1728"/>
          </w:tcPr>
          <w:p>
            <w:r>
              <w:t>79</w:t>
            </w:r>
          </w:p>
        </w:tc>
        <w:tc>
          <w:tcPr>
            <w:tcW w:type="dxa" w:w="1728"/>
          </w:tcPr>
          <w:p>
            <w:r>
              <w:t>88</w:t>
            </w:r>
          </w:p>
        </w:tc>
      </w:tr>
    </w:tbl>
    <w:p/>
    <w:p>
      <w:pPr>
        <w:pStyle w:val="Heading3"/>
      </w:pPr>
      <w:r>
        <w:t>2.2 Substrate Scope</w:t>
      </w:r>
    </w:p>
    <w:p>
      <w:r>
        <w:t>With the optimized conditions in hand, we explored the substrate scope of this C–H activation protocol (Scheme 2). A variety of aryl groups bearing electron-donating and electron-withdrawing substituents were tolerated, affording the corresponding chiral biaryl phosphines in 72–92% yield and 88–97% ee. Notably, substrates with ortho-substituents, which are traditionally challenging due to steric effects, reacted smoothly under our conditions (products 2g–2k, 80–89% yield, 90–95% ee).</w:t>
      </w:r>
    </w:p>
    <w:p>
      <w:pPr>
        <w:pStyle w:val="Heading3"/>
      </w:pPr>
      <w:r>
        <w:t>2.3 Mechanistic Studies</w:t>
      </w:r>
    </w:p>
    <w:p>
      <w:r>
        <w:t>To elucidate the mechanism of the enantioselective C–H activation, we performed a series of kinetic isotope effect (KIE) experiments. A primary KIE of k_H/k_D = 3.8 was observed, suggesting that C–H bond cleavage is involved in the rate-determining step. This result is consistent with a concerted metalation–deprotonation (CMD) pathway.</w:t>
      </w:r>
    </w:p>
    <w:p>
      <w:r>
        <w:t>DFT calculations at the M06/def2-TZVP level of theory revealed that the stereodetermining transition state involves a six-membered palladacyclic intermediate. The chiral amino acid ligand creates a well-defined chiral pocket around the palladium center, directing the approach of the substrate to one enantiotopic face. The calculated activation barrier difference between the major and minor diastereomeric transition states (ΔΔG‡ = 2.8 kcal/mol) is in good agreement with the experimentally observed enantioselectivity.</w:t>
      </w:r>
    </w:p>
    <w:p>
      <w:pPr>
        <w:pStyle w:val="Heading2"/>
      </w:pPr>
      <w:r>
        <w:t>3. Applications in Asymmetric Catalysis</w:t>
      </w:r>
    </w:p>
    <w:p>
      <w:r>
        <w:t>To demonstrate the utility of our chiral phosphine ligands, we applied several representative products in the Pd-catalyzed asymmetric Suzuki–Miyaura coupling. Using ligand 2a (3 mol%) with Pd₂(dba)₃, a range of sterically congested biaryl products were obtained in 85–96% yield and 95–99% ee. These results surpass those obtained with commercially available BINAP under identical conditions (typically 70–85% yield, 80–90% ee).</w:t>
      </w:r>
    </w:p>
    <w:p>
      <w:pPr>
        <w:pStyle w:val="Heading2"/>
      </w:pPr>
      <w:r>
        <w:t>4. Conclusion</w:t>
      </w:r>
    </w:p>
    <w:p>
      <w:r>
        <w:t>In summary, we have developed a highly enantioselective Pd(II)-catalyzed C–H activation strategy for the synthesis of axially chiral biaryl phosphine ligands. The method features mild conditions, broad substrate scope, and excellent enantiocontrol. The synthetic utility of the products has been demonstrated in asymmetric Suzuki–Miyaura coupling reactions. Future work will focus on extending this methodology to other classes of chiral ligands and exploring applications in industrial-scale asymmetric processes.</w:t>
      </w:r>
    </w:p>
    <w:p>
      <w:pPr>
        <w:pStyle w:val="Heading2"/>
      </w:pPr>
      <w:r>
        <w:t>5. Experimental Section</w:t>
      </w:r>
    </w:p>
    <w:p>
      <w:r>
        <w:t>General procedure for the enantioselective C–H activation: To a flame-dried Schlenk tube equipped with a magnetic stir bar were added Pd(OAc)₂ (0.05 mmol, 10 mol%), N-acetyl-L-leucine (0.10 mmol, 20 mol%), AgOAc (1.0 mmol, 2.0 equiv), and substrate (0.50 mmol, 1.0 equiv) in 1,2-dichloroethane (2.5 mL). The resulting mixture was stirred at 80 °C for 24 h under nitrogen atmosphere. After cooling to room temperature, the reaction mixture was filtered through a pad of Celite and concentrated under reduced pressure. Purification by column chromatography (silica gel, hexanes/EtOAc gradient) afforded the desired chiral biaryl phosphine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