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t>Quarterly Business Performance Analysis Report</w:t>
      </w:r>
    </w:p>
    <w:p>
      <w:pPr>
        <w:pStyle w:val="Heading1"/>
      </w:pPr>
      <w:r>
        <w:t>Executive Summary</w:t>
      </w:r>
    </w:p>
    <w:p>
      <w:r>
        <w:t>This report presents a comprehensive analysis of the company's quarterly business performance metrics for Q3 2024. Key performance indicators have been evaluated across revenue, operations, customer satisfaction, and market positioning. Overall, the company demonstrated a 12.4% revenue growth compared to the same quarter last year, driven primarily by expanded product offerings and increased market penetration in the Asia-Pacific region.</w:t>
      </w:r>
    </w:p>
    <w:p>
      <w:r>
        <w:t>Operational efficiency metrics improved by 8.7%, while customer retention rates remained stable at 94.2%. The report identifies three core areas for strategic focus in the upcoming quarter: talent acquisition, digital transformation, and supply chain optimization.</w:t>
      </w:r>
    </w:p>
    <w:p>
      <w:pPr>
        <w:pStyle w:val="Heading1"/>
      </w:pPr>
      <w:r>
        <w:t>Introduction</w:t>
      </w:r>
    </w:p>
    <w:p>
      <w:r>
        <w:t>The purpose of this analysis is to provide stakeholders with a detailed overview of business performance for Q3 2024 (July – September). Data was collected from internal systems including ERP, CRM, and financial reporting platforms. The methodology employed adheres to the company's standard performance benchmarking framework established in 2022.</w:t>
      </w:r>
    </w:p>
    <w:p>
      <w:r>
        <w:t>Data sources include: monthly revenue reports from the Finance Department, operational KPIs from the Operations Excellence team, customer survey data compiled by the Customer Experience division, and market intelligence reports from the Strategy &amp; Business Development group.</w:t>
      </w:r>
    </w:p>
    <w:p>
      <w:r>
        <w:t>Unless otherwise noted, all financial figures are expressed in USD and represent consolidated results across all subsidiaries and operating regions. Year-over-year (YoY) comparisons are based on Q3 2023 actuals.</w:t>
      </w:r>
    </w:p>
    <w:p>
      <w:pPr>
        <w:pStyle w:val="Heading1"/>
      </w:pPr>
      <w:r>
        <w:t>Data Analysis</w:t>
      </w:r>
    </w:p>
    <w:p>
      <w:pPr>
        <w:pStyle w:val="Heading2"/>
      </w:pPr>
      <w:r>
        <w:t>3.1 Revenue Performance</w:t>
      </w:r>
    </w:p>
    <w:p>
      <w:r>
        <w:t>Total revenue for Q3 2024 reached $48.7 million, compared to $43.3 million in Q3 2023, representing a year-over-year increase of 12.4%. Product revenue accounted for 68% of total revenue ($33.1M), while service revenue contributed 32% ($15.6M). The North America region remained the largest revenue contributor at 52% ($25.3M), followed by EMEA at 28% ($13.6M) and APAC at 20% ($9.8M).</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Region</w:t>
            </w:r>
          </w:p>
        </w:tc>
        <w:tc>
          <w:tcPr>
            <w:tcW w:type="dxa" w:w="2256"/>
          </w:tcPr>
          <w:p>
            <w:r>
              <w:rPr>
                <w:b/>
              </w:rPr>
              <w:t>Q3 2023 ($M)</w:t>
            </w:r>
          </w:p>
        </w:tc>
        <w:tc>
          <w:tcPr>
            <w:tcW w:type="dxa" w:w="2256"/>
          </w:tcPr>
          <w:p>
            <w:r>
              <w:rPr>
                <w:b/>
              </w:rPr>
              <w:t>Q3 2024 ($M)</w:t>
            </w:r>
          </w:p>
        </w:tc>
        <w:tc>
          <w:tcPr>
            <w:tcW w:type="dxa" w:w="2256"/>
          </w:tcPr>
          <w:p>
            <w:r>
              <w:rPr>
                <w:b/>
              </w:rPr>
              <w:t>YoY Growth (%)</w:t>
            </w:r>
          </w:p>
        </w:tc>
      </w:tr>
      <w:tr>
        <w:tc>
          <w:tcPr>
            <w:tcW w:type="dxa" w:w="2256"/>
          </w:tcPr>
          <w:p>
            <w:r>
              <w:t>North America</w:t>
            </w:r>
          </w:p>
        </w:tc>
        <w:tc>
          <w:tcPr>
            <w:tcW w:type="dxa" w:w="2256"/>
          </w:tcPr>
          <w:p>
            <w:r>
              <w:t>22.1</w:t>
            </w:r>
          </w:p>
        </w:tc>
        <w:tc>
          <w:tcPr>
            <w:tcW w:type="dxa" w:w="2256"/>
          </w:tcPr>
          <w:p>
            <w:r>
              <w:t>25.3</w:t>
            </w:r>
          </w:p>
        </w:tc>
        <w:tc>
          <w:tcPr>
            <w:tcW w:type="dxa" w:w="2256"/>
          </w:tcPr>
          <w:p>
            <w:r>
              <w:t>+14.5%</w:t>
            </w:r>
          </w:p>
        </w:tc>
      </w:tr>
      <w:tr>
        <w:tc>
          <w:tcPr>
            <w:tcW w:type="dxa" w:w="2256"/>
          </w:tcPr>
          <w:p>
            <w:r>
              <w:t>EMEA</w:t>
            </w:r>
          </w:p>
        </w:tc>
        <w:tc>
          <w:tcPr>
            <w:tcW w:type="dxa" w:w="2256"/>
          </w:tcPr>
          <w:p>
            <w:r>
              <w:t>12.4</w:t>
            </w:r>
          </w:p>
        </w:tc>
        <w:tc>
          <w:tcPr>
            <w:tcW w:type="dxa" w:w="2256"/>
          </w:tcPr>
          <w:p>
            <w:r>
              <w:t>13.6</w:t>
            </w:r>
          </w:p>
        </w:tc>
        <w:tc>
          <w:tcPr>
            <w:tcW w:type="dxa" w:w="2256"/>
          </w:tcPr>
          <w:p>
            <w:r>
              <w:t>+9.7%</w:t>
            </w:r>
          </w:p>
        </w:tc>
      </w:tr>
      <w:tr>
        <w:tc>
          <w:tcPr>
            <w:tcW w:type="dxa" w:w="2256"/>
          </w:tcPr>
          <w:p>
            <w:r>
              <w:t>APAC</w:t>
            </w:r>
          </w:p>
        </w:tc>
        <w:tc>
          <w:tcPr>
            <w:tcW w:type="dxa" w:w="2256"/>
          </w:tcPr>
          <w:p>
            <w:r>
              <w:t>7.5</w:t>
            </w:r>
          </w:p>
        </w:tc>
        <w:tc>
          <w:tcPr>
            <w:tcW w:type="dxa" w:w="2256"/>
          </w:tcPr>
          <w:p>
            <w:r>
              <w:t>9.8</w:t>
            </w:r>
          </w:p>
        </w:tc>
        <w:tc>
          <w:tcPr>
            <w:tcW w:type="dxa" w:w="2256"/>
          </w:tcPr>
          <w:p>
            <w:r>
              <w:t>+30.7%</w:t>
            </w:r>
          </w:p>
        </w:tc>
      </w:tr>
      <w:tr>
        <w:tc>
          <w:tcPr>
            <w:tcW w:type="dxa" w:w="2256"/>
          </w:tcPr>
          <w:p>
            <w:r>
              <w:t>Total</w:t>
            </w:r>
          </w:p>
        </w:tc>
        <w:tc>
          <w:tcPr>
            <w:tcW w:type="dxa" w:w="2256"/>
          </w:tcPr>
          <w:p>
            <w:r>
              <w:t>43.3</w:t>
            </w:r>
          </w:p>
        </w:tc>
        <w:tc>
          <w:tcPr>
            <w:tcW w:type="dxa" w:w="2256"/>
          </w:tcPr>
          <w:p>
            <w:r>
              <w:t>48.7</w:t>
            </w:r>
          </w:p>
        </w:tc>
        <w:tc>
          <w:tcPr>
            <w:tcW w:type="dxa" w:w="2256"/>
          </w:tcPr>
          <w:p>
            <w:r>
              <w:t>+12.4%</w:t>
            </w:r>
          </w:p>
        </w:tc>
      </w:tr>
    </w:tbl>
    <w:p/>
    <w:p>
      <w:pPr>
        <w:pStyle w:val="Heading2"/>
      </w:pPr>
      <w:r>
        <w:t>3.2 Operational Efficiency</w:t>
      </w:r>
    </w:p>
    <w:p>
      <w:r>
        <w:t>Operational costs as a percentage of revenue declined from 61.2% in Q3 2023 to 56.5% in Q3 2024, reflecting efficiency gains from automation initiatives and workforce optimization programs. The average order fulfillment time decreased from 4.8 days to 3.9 days, a 18.8% improvement. Inventory turnover ratio improved from 5.2x to 6.1x annually.</w:t>
      </w:r>
    </w:p>
    <w:p>
      <w:r>
        <w:t>The Six Sigma continuous improvement program implemented in Q1 2024 contributed to a 23% reduction in process defects. Cross-functional collaboration index scores rose from 72/100 to 81/100, indicating stronger inter-departmental alignment and knowledge sharing.</w:t>
      </w:r>
    </w:p>
    <w:p>
      <w:pPr>
        <w:pStyle w:val="Heading2"/>
      </w:pPr>
      <w:r>
        <w:t>3.3 Customer Metrics</w:t>
      </w:r>
    </w:p>
    <w:p>
      <w:r>
        <w:t>Net Promoter Score (NPS) for Q3 2024 reached 67, up from 59 in Q3 2023. Customer acquisition cost (CAC) decreased by 11% from $342 to $304, while customer lifetime value (CLV) increased by 18% from $4,850 to $5,723. Churn rate remained stable at 5.8% annually, with the highest retention rates observed in the Enterprise segment (97.1%) compared to SMB (91.4%).</w:t>
      </w:r>
    </w:p>
    <w:p>
      <w:pPr>
        <w:pStyle w:val="Heading1"/>
      </w:pPr>
      <w:r>
        <w:t>Findings</w:t>
      </w:r>
    </w:p>
    <w:p>
      <w:r>
        <w:t>Based on the data analysis conducted, the following key findings have been identified for Q3 2024:</w:t>
      </w:r>
    </w:p>
    <w:p>
      <w:pPr>
        <w:pStyle w:val="ListBullet"/>
      </w:pPr>
      <w:r>
        <w:t>Revenue Growth Drivers: The 12.4% YoY revenue growth was primarily driven by APAC expansion (30.7% growth), successful launch of three new product lines in July 2024, and a 19% increase in average contract value for enterprise customers.</w:t>
      </w:r>
    </w:p>
    <w:p>
      <w:pPr>
        <w:pStyle w:val="ListBullet"/>
      </w:pPr>
      <w:r>
        <w:t>Operational Improvements: Process automation investments totaling $2.1M in H1 2024 yielded cost savings of approximately $3.7M in Q3 alone, delivering a 176% return on investment within the same fiscal year.</w:t>
      </w:r>
    </w:p>
    <w:p>
      <w:pPr>
        <w:pStyle w:val="ListBullet"/>
      </w:pPr>
      <w:r>
        <w:t>Customer Experience: The NPS improvement from 59 to 67 reflects successful implementation of the Customer Success Program launched in Q2 2024. Response time improvements (avg. from 4.2h to 1.8h) are the primary driver of this gain.</w:t>
      </w:r>
    </w:p>
    <w:p>
      <w:pPr>
        <w:pStyle w:val="ListBullet"/>
      </w:pPr>
      <w:r>
        <w:t>Risk Factors: Foreign exchange volatility impacted APAC revenues by an estimated -2.3%, and global supply chain disruptions resulted in delayed deliveries for approximately 340 orders (representing 1.2% of total order volume).</w:t>
      </w:r>
    </w:p>
    <w:p>
      <w:pPr>
        <w:pStyle w:val="ListBullet"/>
      </w:pPr>
      <w:r>
        <w:t>Market Position: The company's market share in the North American mid-market segment grew from 8.4% to 9.7%, while European market share remained flat at 5.2% despite favorable macroeconomic conditions in Germany and the Netherlands.</w:t>
      </w:r>
    </w:p>
    <w:p>
      <w:pPr>
        <w:pStyle w:val="Heading2"/>
      </w:pPr>
      <w:r>
        <w:t>4.1 Comparative Performance</w:t>
      </w:r>
    </w:p>
    <w:p>
      <w:r>
        <w:t>Compared to industry benchmarks, the company outperformed sector averages across 7 of 10 key performance indicators. Particularly strong performance was noted in revenue per employee ($187K vs. sector average $142K), gross margin (44.7% vs. sector average 38.9%), and NPS (67 vs. sector average 52).</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t>KPI</w:t>
            </w:r>
          </w:p>
        </w:tc>
        <w:tc>
          <w:tcPr>
            <w:tcW w:type="dxa" w:w="3009"/>
          </w:tcPr>
          <w:p>
            <w:r>
              <w:rPr>
                <w:b/>
              </w:rPr>
              <w:t>Company Q3 2024</w:t>
            </w:r>
          </w:p>
        </w:tc>
        <w:tc>
          <w:tcPr>
            <w:tcW w:type="dxa" w:w="3009"/>
          </w:tcPr>
          <w:p>
            <w:r>
              <w:rPr>
                <w:b/>
              </w:rPr>
              <w:t>Industry Average</w:t>
            </w:r>
          </w:p>
        </w:tc>
      </w:tr>
      <w:tr>
        <w:tc>
          <w:tcPr>
            <w:tcW w:type="dxa" w:w="3009"/>
          </w:tcPr>
          <w:p>
            <w:r>
              <w:t>Revenue per Employee ($K)</w:t>
            </w:r>
          </w:p>
        </w:tc>
        <w:tc>
          <w:tcPr>
            <w:tcW w:type="dxa" w:w="3009"/>
          </w:tcPr>
          <w:p>
            <w:r>
              <w:t>187</w:t>
            </w:r>
          </w:p>
        </w:tc>
        <w:tc>
          <w:tcPr>
            <w:tcW w:type="dxa" w:w="3009"/>
          </w:tcPr>
          <w:p>
            <w:r>
              <w:t>142</w:t>
            </w:r>
          </w:p>
        </w:tc>
      </w:tr>
      <w:tr>
        <w:tc>
          <w:tcPr>
            <w:tcW w:type="dxa" w:w="3009"/>
          </w:tcPr>
          <w:p>
            <w:r>
              <w:t>Gross Margin (%)</w:t>
            </w:r>
          </w:p>
        </w:tc>
        <w:tc>
          <w:tcPr>
            <w:tcW w:type="dxa" w:w="3009"/>
          </w:tcPr>
          <w:p>
            <w:r>
              <w:t>44.7%</w:t>
            </w:r>
          </w:p>
        </w:tc>
        <w:tc>
          <w:tcPr>
            <w:tcW w:type="dxa" w:w="3009"/>
          </w:tcPr>
          <w:p>
            <w:r>
              <w:t>38.9%</w:t>
            </w:r>
          </w:p>
        </w:tc>
      </w:tr>
      <w:tr>
        <w:tc>
          <w:tcPr>
            <w:tcW w:type="dxa" w:w="3009"/>
          </w:tcPr>
          <w:p>
            <w:r>
              <w:t>NPS Score</w:t>
            </w:r>
          </w:p>
        </w:tc>
        <w:tc>
          <w:tcPr>
            <w:tcW w:type="dxa" w:w="3009"/>
          </w:tcPr>
          <w:p>
            <w:r>
              <w:t>67</w:t>
            </w:r>
          </w:p>
        </w:tc>
        <w:tc>
          <w:tcPr>
            <w:tcW w:type="dxa" w:w="3009"/>
          </w:tcPr>
          <w:p>
            <w:r>
              <w:t>52</w:t>
            </w:r>
          </w:p>
        </w:tc>
      </w:tr>
      <w:tr>
        <w:tc>
          <w:tcPr>
            <w:tcW w:type="dxa" w:w="3009"/>
          </w:tcPr>
          <w:p>
            <w:r>
              <w:t>Customer Churn (%)</w:t>
            </w:r>
          </w:p>
        </w:tc>
        <w:tc>
          <w:tcPr>
            <w:tcW w:type="dxa" w:w="3009"/>
          </w:tcPr>
          <w:p>
            <w:r>
              <w:t>5.8%</w:t>
            </w:r>
          </w:p>
        </w:tc>
        <w:tc>
          <w:tcPr>
            <w:tcW w:type="dxa" w:w="3009"/>
          </w:tcPr>
          <w:p>
            <w:r>
              <w:t>8.2%</w:t>
            </w:r>
          </w:p>
        </w:tc>
      </w:tr>
    </w:tbl>
    <w:p/>
    <w:p>
      <w:pPr>
        <w:pStyle w:val="Heading1"/>
      </w:pPr>
      <w:r>
        <w:t>Conclusion</w:t>
      </w:r>
    </w:p>
    <w:p>
      <w:r>
        <w:t>The Q3 2024 business performance analysis confirms the company is on a strong growth trajectory, driven by strategic investments in technology, talent, and market expansion. Revenue growth of 12.4% YoY demonstrates the effectiveness of the current go-to-market strategy, while operational efficiency gains validate the process improvement programs initiated in early 2024.</w:t>
      </w:r>
    </w:p>
    <w:p>
      <w:r>
        <w:t>The significant APAC growth (30.7%) signals a maturing regional operation with substantial future potential. Management recommends continued investment in APAC infrastructure and talent to sustain and accelerate this momentum. Simultaneously, the stagnant European market share requires strategic review and targeted intervention in Q4 2024.</w:t>
      </w:r>
    </w:p>
    <w:p>
      <w:r>
        <w:t>Looking ahead to Q4 2024, three strategic priorities are recommended: (1) Accelerate digital transformation initiatives to capture an additional 2-3% operational cost reduction; (2) Execute the planned talent acquisition drive to support APAC expansion with an estimated 45 new headcount; and (3) Strengthen European partnerships and channel strategy to regain competitive market positioning.</w:t>
      </w:r>
    </w:p>
    <w:p>
      <w:r>
        <w:t>The company is well-positioned to achieve full-year 2024 revenue targets of $195M and operating margin targets of 18.5%, assuming no significant macro disruptions in Q4. Risk mitigation strategies for currency volatility and supply chain exposure have been reviewed and are deemed adequate for current exposure levels.</w:t>
      </w:r>
    </w:p>
    <w:p>
      <w:pPr>
        <w:pStyle w:val="Heading1"/>
      </w:pPr>
      <w:r>
        <w:t>References</w:t>
      </w:r>
    </w:p>
    <w:p>
      <w:pPr>
        <w:pStyle w:val="ListNumber"/>
      </w:pPr>
      <w:r>
        <w:t>Internal Finance Department. (2024). Quarterly Revenue Report Q3 2024. Company Internal Publication.</w:t>
      </w:r>
    </w:p>
    <w:p>
      <w:pPr>
        <w:pStyle w:val="ListNumber"/>
      </w:pPr>
      <w:r>
        <w:t>Operations Excellence Team. (2024). Q3 2024 Operational KPI Dashboard. Company Internal Publication.</w:t>
      </w:r>
    </w:p>
    <w:p>
      <w:pPr>
        <w:pStyle w:val="ListNumber"/>
      </w:pPr>
      <w:r>
        <w:t>Customer Experience Division. (2024). Customer Satisfaction Survey Results Q3 2024. Company Internal Publication.</w:t>
      </w:r>
    </w:p>
    <w:p>
      <w:pPr>
        <w:pStyle w:val="ListNumber"/>
      </w:pPr>
      <w:r>
        <w:t>Strategy &amp; Business Development Group. (2024). Market Intelligence Report Asia-Pacific Region Q3 2024. Company Internal Publication.</w:t>
      </w:r>
    </w:p>
    <w:p>
      <w:pPr>
        <w:pStyle w:val="ListNumber"/>
      </w:pPr>
      <w:r>
        <w:t>Industry Research Institute. (2024). Global Technology Sector Benchmarking Report 2024. Industry Research Institute Publications.</w:t>
      </w:r>
    </w:p>
    <w:p>
      <w:pPr>
        <w:pStyle w:val="ListNumber"/>
      </w:pPr>
      <w:r>
        <w:t>Supply Chain Risk Management Committee. (2024). Q3 2024 Supply Chain Disruption Impact Assessment. Company Internal Publication.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