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jc w:val="center"/>
      </w:pPr>
      <w:r>
        <w:t>The Role of Cognitive Load in Second Language Acquisition</w:t>
      </w:r>
    </w:p>
    <w:p>
      <w:pPr>
        <w:spacing w:after="120"/>
        <w:jc w:val="center"/>
      </w:pPr>
      <w:r>
        <w:t>Dr. Elena Marchetti, Department of Applied Linguistics</w:t>
      </w:r>
    </w:p>
    <w:p>
      <w:pPr>
        <w:spacing w:after="360"/>
        <w:jc w:val="center"/>
      </w:pPr>
      <w:r>
        <w:t>University of Geneva, Geneva, Switzerland</w:t>
      </w:r>
    </w:p>
    <w:p>
      <w:pPr>
        <w:spacing w:after="120"/>
      </w:pPr>
      <w:r>
        <w:rPr>
          <w:b/>
        </w:rPr>
        <w:t>Abstract</w:t>
      </w:r>
    </w:p>
    <w:p>
      <w:pPr>
        <w:spacing w:line="276" w:lineRule="auto" w:after="200"/>
        <w:jc w:val="both"/>
      </w:pPr>
      <w:r>
        <w:t>Cognitive load theory, originally proposed by Sweller (1988), has profound implications for second language acquisition (SLA) research. When learners encounter novel linguistic structures in a target language, the working memory system must simultaneously process phonological, syntactic, and semantic information. This multidimensional processing demand creates what researchers term 'intrinsic cognitive load', which varies considerably depending on the learner's prior linguistic knowledge and the structural distance between the native language and the target language. Studies conducted across European university populations suggest that intrinsic load is significantly higher for learners whose native languages belong to different language families than the target language (Brysbaert &amp; Duyck, 2010).</w:t>
      </w:r>
    </w:p>
    <w:p>
      <w:pPr>
        <w:spacing w:line="276" w:lineRule="auto" w:after="200"/>
        <w:jc w:val="both"/>
      </w:pPr>
      <w:r>
        <w:t>In contrast, 'extraneous cognitive load' arises from the design of instructional materials and the pedagogical environment rather than from the inherent complexity of the content itself. Poorly structured grammar exercises, inconsistent orthographic conventions in teaching materials, and inadequate scaffolding in communicative tasks all contribute to extraneous load that competes for limited working memory resources. Schmidt's noticing hypothesis (1990) intersects meaningfully with cognitive load frameworks, suggesting that attentional resources diverted by extraneous factors reduce the likelihood that learners will consciously register the formal features of language input — a prerequisite for subsequent acquisition. Classroom-based interventions that minimize extraneous load through explicit metalinguistic instruction have demonstrated measurable gains in morphosyntactic accuracy among intermediate-level learners.</w:t>
      </w:r>
    </w:p>
    <w:p>
      <w:pPr>
        <w:spacing w:line="276" w:lineRule="auto" w:after="200"/>
        <w:jc w:val="both"/>
      </w:pPr>
      <w:r>
        <w:t>The third dimension of cognitive load, 'germane cognitive load', refers to the mental effort devoted to schema formation and automation — processes that are directly beneficial to long-term learning. In SLA contexts, germane load is cultivated through tasks that require learners to detect patterns, formulate hypotheses about target-language rules, and receive corrective feedback in a manner that promotes explicit rule representation. Doughty and Williams (1998) demonstrated that form-focused instruction embedded within meaning-oriented tasks optimally engages germane processing without overwhelming the learner's total cognitive capacity. More recent neuroimaging research corroborates these behavioural findings, indicating that activation in the left inferior frontal gyrus correlates with successful grammar learning under conditions of moderate germane load, suggesting a neurobiological basis for the optimal challenge hypothesis in language pedagogy.</w:t>
      </w:r>
    </w:p>
    <w:p>
      <w:pPr>
        <w:spacing w:before="240" w:after="120"/>
      </w:pPr>
      <w:r>
        <w:rPr>
          <w:b/>
        </w:rPr>
        <w:t>References</w:t>
      </w:r>
    </w:p>
    <w:p>
      <w:pPr>
        <w:spacing w:after="80"/>
        <w:ind w:hanging="360" w:left="360"/>
      </w:pPr>
      <w:r>
        <w:t>Brysbaert, M., &amp; Duyck, W. (2010). Is it time to leave behind the Revised Hierarchical Model of bilingual language processing after fifteen years of service? Bilingualism: Language and Cognition, 13(3), 359–371.</w:t>
      </w:r>
    </w:p>
    <w:p>
      <w:pPr>
        <w:spacing w:after="80"/>
        <w:ind w:hanging="360" w:left="360"/>
      </w:pPr>
      <w:r>
        <w:t>Doughty, C., &amp; Williams, J. (1998). Pedagogical choices in focus on form. In C. Doughty &amp; J. Williams (Eds.), Focus on Form in Classroom Second Language Acquisition (pp. 197–261). Cambridge University Press.</w:t>
      </w:r>
    </w:p>
    <w:p>
      <w:pPr>
        <w:spacing w:after="80"/>
        <w:ind w:hanging="360" w:left="360"/>
      </w:pPr>
      <w:r>
        <w:t>Schmidt, R. (1990). The role of consciousness in second language learning. Applied Linguistics, 11(2), 129–158.</w:t>
      </w:r>
    </w:p>
    <w:p>
      <w:pPr>
        <w:spacing w:after="80"/>
        <w:ind w:hanging="360" w:left="360"/>
      </w:pPr>
      <w:r>
        <w:t>Sweller, J. (1988). Cognitive load during problem solving: Effects on learning. Cognitive Science, 12(2), 257–285.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