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Computational Biology Research Summary</w:t>
      </w:r>
    </w:p>
    <w:p>
      <w:pPr>
        <w:spacing w:after="240"/>
        <w:jc w:val="center"/>
      </w:pPr>
      <w:r>
        <w:rPr>
          <w:i/>
          <w:sz w:val="22"/>
        </w:rPr>
        <w:t>Prepared by the Institute for Computational Life Sciences</w:t>
      </w:r>
    </w:p>
    <w:p/>
    <w:p>
      <w:pPr>
        <w:pStyle w:val="Heading1"/>
      </w:pPr>
      <w:r>
        <w:t>1. Overview</w:t>
      </w:r>
    </w:p>
    <w:p>
      <w:r>
        <w:t>This document summarizes the research output of our institute's computational biology division for the period 2020–2023. The division focuses on applying machine learning and statistical methods to problems in genomics, drug discovery, and clinical informatics. The following sections provide a narrative summary, key collaborations, and bibliometric impact data for selected investigators.</w:t>
      </w:r>
    </w:p>
    <w:p>
      <w:pPr>
        <w:pStyle w:val="Heading1"/>
      </w:pPr>
      <w:r>
        <w:t>2. Research Focus Areas</w:t>
      </w:r>
    </w:p>
    <w:p>
      <w:r>
        <w:t>The division's work spans three primary research thrusts:</w:t>
      </w:r>
    </w:p>
    <w:p>
      <w:pPr>
        <w:pStyle w:val="ListBullet"/>
      </w:pPr>
      <w:r>
        <w:t>Structural and Molecular Biology: Computational prediction of protein structures, molecular docking, and small-molecule property estimation using deep neural architectures.</w:t>
      </w:r>
    </w:p>
    <w:p>
      <w:pPr>
        <w:pStyle w:val="ListBullet"/>
      </w:pPr>
      <w:r>
        <w:t>Genomics and Transcriptomics: Single-cell RNA sequencing analysis, genomic sequence modeling, and multi-omics data integration for biomarker identification.</w:t>
      </w:r>
    </w:p>
    <w:p>
      <w:pPr>
        <w:pStyle w:val="ListBullet"/>
      </w:pPr>
      <w:r>
        <w:t>Clinical and Translational Informatics: Natural language processing on clinical text, electronic health record mining, and federated learning frameworks for privacy-preserving data sharing across hospital networks.</w:t>
      </w:r>
    </w:p>
    <w:p>
      <w:r>
        <w:t>Each thrust has produced high-impact publications in leading journals and contributed to collaborative grants totaling over $12 million in external funding over the review period.</w:t>
      </w:r>
    </w:p>
    <w:p>
      <w:pPr>
        <w:pStyle w:val="Heading1"/>
      </w:pPr>
      <w:r>
        <w:t>3. Key Collaborations</w:t>
      </w:r>
    </w:p>
    <w:p>
      <w:r>
        <w:t>Our investigators maintain active collaborations with ten partner institutions across North America, Europe, and Asia. Notable partnerships include joint NIH R01 grants with Stanford University and the Broad Institute, an EU Horizon project on federated clinical data analysis, and an industry collaboration with a leading pharmaceutical company for AI-driven compound screening. These relationships have enhanced both the scientific quality and translational potential of our outputs.</w:t>
      </w:r>
    </w:p>
    <w:p>
      <w:pPr>
        <w:pStyle w:val="Heading1"/>
      </w:pPr>
      <w:r>
        <w:t>4. Impact Metrics</w:t>
      </w:r>
    </w:p>
    <w:p>
      <w:pPr>
        <w:spacing w:after="160"/>
      </w:pPr>
      <w:r>
        <w:t>The table below presents citation data for selected publications. The data is drawn from the institute's citation tracking database and covers peer-reviewed articles published between 2020 and 2023.</w:t>
      </w:r>
    </w:p>
    <w:p>
      <w:pPr>
        <w:spacing w:after="200"/>
      </w:pPr>
      <w:r>
        <w:rPr>
          <w:i/>
          <w:color w:val="999999"/>
        </w:rPr>
        <w:t>[Citation table to be inserted here]</w:t>
      </w:r>
    </w:p>
    <w:p>
      <w:pPr>
        <w:pStyle w:val="Heading1"/>
      </w:pPr>
      <w:r>
        <w:t>5. Conclusions</w:t>
      </w:r>
    </w:p>
    <w:p>
      <w:r>
        <w:t>The division's output over the 2020–2023 period demonstrates sustained high impact across all three focus areas. Citation metrics indicate strong community uptake of the published methodologies. Looking ahead, leadership has approved expansion of the clinical informatics team and additional computational infrastructure investment to support large-scale foundation model training for biomedical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