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sz w:val="40"/>
        </w:rPr>
        <w:t>Laboratory Research Notebook</w:t>
      </w:r>
    </w:p>
    <w:p>
      <w:pPr>
        <w:jc w:val="center"/>
      </w:pPr>
      <w:r>
        <w:rPr>
          <w:i/>
          <w:sz w:val="28"/>
        </w:rPr>
        <w:t>Biochemistry &amp; Molecular Biology Division</w:t>
      </w:r>
    </w:p>
    <w:p/>
    <w:p>
      <w:pPr>
        <w:jc w:val="center"/>
      </w:pPr>
      <w:r>
        <w:t>Principal Investigator: Dr. Elena Rivera</w:t>
        <w:br/>
      </w:r>
      <w:r>
        <w:t>Department of Biochemistry, Westfield University</w:t>
        <w:br/>
      </w:r>
      <w:r>
        <w:t>Project Code: WU-BIO-2025-041</w:t>
        <w:br/>
      </w:r>
      <w:r>
        <w:t>Notebook Period: January – June 2025</w:t>
      </w:r>
    </w:p>
    <w:p>
      <w:r>
        <w:br w:type="page"/>
      </w:r>
    </w:p>
    <w:p>
      <w:pPr>
        <w:pStyle w:val="Heading1"/>
      </w:pPr>
      <w:r>
        <w:t>Overview and Objectives</w:t>
      </w:r>
    </w:p>
    <w:p>
      <w:r>
        <w:rPr>
          <w:b w:val="0"/>
          <w:i w:val="0"/>
        </w:rPr>
        <w:t>This laboratory notebook documents ongoing research into the enzymatic degradation of polyethylene terephthalate (PET) plastics using engineered variants of PETase derived from Ideonella sakaiensis. The primary objective is to optimize reaction conditions for maximum substrate turnover at ambient temperatures.</w:t>
      </w:r>
    </w:p>
    <w:p>
      <w:r>
        <w:rPr>
          <w:b w:val="0"/>
          <w:i w:val="0"/>
        </w:rPr>
        <w:t>Secondary objectives include characterization of novel variant binding kinetics, structural analysis via cryo-EM, and assessment of co-substrate requirements. All experiments adhere to institutional biosafety protocols (BSL-1).</w:t>
      </w:r>
    </w:p>
    <w:p>
      <w:pPr>
        <w:pStyle w:val="Heading2"/>
      </w:pPr>
      <w:r>
        <w:t>Project Team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Name</w:t>
            </w:r>
          </w:p>
        </w:tc>
        <w:tc>
          <w:tcPr>
            <w:tcW w:type="dxa" w:w="3120"/>
          </w:tcPr>
          <w:p>
            <w:r>
              <w:rPr>
                <w:b/>
              </w:rPr>
              <w:t>Role</w:t>
            </w:r>
          </w:p>
        </w:tc>
        <w:tc>
          <w:tcPr>
            <w:tcW w:type="dxa" w:w="3120"/>
          </w:tcPr>
          <w:p>
            <w:r>
              <w:rPr>
                <w:b/>
              </w:rPr>
              <w:t>Contact</w:t>
            </w:r>
          </w:p>
        </w:tc>
      </w:tr>
      <w:tr>
        <w:tc>
          <w:tcPr>
            <w:tcW w:type="dxa" w:w="3120"/>
          </w:tcPr>
          <w:p>
            <w:r>
              <w:t>Dr. Elena Rivera</w:t>
            </w:r>
          </w:p>
        </w:tc>
        <w:tc>
          <w:tcPr>
            <w:tcW w:type="dxa" w:w="3120"/>
          </w:tcPr>
          <w:p>
            <w:r>
              <w:t>Principal Investigator</w:t>
            </w:r>
          </w:p>
        </w:tc>
        <w:tc>
          <w:tcPr>
            <w:tcW w:type="dxa" w:w="3120"/>
          </w:tcPr>
          <w:p>
            <w:r>
              <w:t>erivera@westfield.edu</w:t>
            </w:r>
          </w:p>
        </w:tc>
      </w:tr>
      <w:tr>
        <w:tc>
          <w:tcPr>
            <w:tcW w:type="dxa" w:w="3120"/>
          </w:tcPr>
          <w:p>
            <w:r>
              <w:t>Marcus Chen</w:t>
            </w:r>
          </w:p>
        </w:tc>
        <w:tc>
          <w:tcPr>
            <w:tcW w:type="dxa" w:w="3120"/>
          </w:tcPr>
          <w:p>
            <w:r>
              <w:t>Research Associate</w:t>
            </w:r>
          </w:p>
        </w:tc>
        <w:tc>
          <w:tcPr>
            <w:tcW w:type="dxa" w:w="3120"/>
          </w:tcPr>
          <w:p>
            <w:r>
              <w:t>mchen@westfield.edu</w:t>
            </w:r>
          </w:p>
        </w:tc>
      </w:tr>
      <w:tr>
        <w:tc>
          <w:tcPr>
            <w:tcW w:type="dxa" w:w="3120"/>
          </w:tcPr>
          <w:p>
            <w:r>
              <w:t>Priya Nair</w:t>
            </w:r>
          </w:p>
        </w:tc>
        <w:tc>
          <w:tcPr>
            <w:tcW w:type="dxa" w:w="3120"/>
          </w:tcPr>
          <w:p>
            <w:r>
              <w:t>PhD Candidate</w:t>
            </w:r>
          </w:p>
        </w:tc>
        <w:tc>
          <w:tcPr>
            <w:tcW w:type="dxa" w:w="3120"/>
          </w:tcPr>
          <w:p>
            <w:r>
              <w:t>pnair@westfield.edu</w:t>
            </w:r>
          </w:p>
        </w:tc>
      </w:tr>
      <w:tr>
        <w:tc>
          <w:tcPr>
            <w:tcW w:type="dxa" w:w="3120"/>
          </w:tcPr>
          <w:p>
            <w:r>
              <w:t>James Okonkwo</w:t>
            </w:r>
          </w:p>
        </w:tc>
        <w:tc>
          <w:tcPr>
            <w:tcW w:type="dxa" w:w="3120"/>
          </w:tcPr>
          <w:p>
            <w:r>
              <w:t>Lab Technician</w:t>
            </w:r>
          </w:p>
        </w:tc>
        <w:tc>
          <w:tcPr>
            <w:tcW w:type="dxa" w:w="3120"/>
          </w:tcPr>
          <w:p>
            <w:r>
              <w:t>jokonkwo@westfield.edu</w:t>
            </w:r>
          </w:p>
        </w:tc>
      </w:tr>
    </w:tbl>
    <w:p>
      <w:r>
        <w:br w:type="page"/>
      </w:r>
    </w:p>
    <w:p>
      <w:pPr>
        <w:pStyle w:val="Heading1"/>
      </w:pPr>
      <w:r>
        <w:t>Experiment Log — January 2025</w:t>
      </w:r>
    </w:p>
    <w:p>
      <w:pPr>
        <w:pStyle w:val="Heading2"/>
      </w:pPr>
      <w:r>
        <w:t>Experiment 001: Baseline PETase Activity Assay</w:t>
      </w:r>
    </w:p>
    <w:p>
      <w:r>
        <w:rPr>
          <w:b/>
          <w:i w:val="0"/>
        </w:rPr>
        <w:t>Date: January 8, 2025</w:t>
      </w:r>
    </w:p>
    <w:p>
      <w:r>
        <w:rPr>
          <w:b w:val="0"/>
          <w:i w:val="0"/>
        </w:rPr>
        <w:t>Operator: Marcus Chen</w:t>
      </w:r>
    </w:p>
    <w:p>
      <w:r>
        <w:rPr>
          <w:b w:val="0"/>
          <w:i w:val="0"/>
        </w:rPr>
        <w:t>Protocol Reference: WU-BIO-PROT-014 v2.1</w:t>
      </w:r>
    </w:p>
    <w:p>
      <w:pPr>
        <w:pStyle w:val="Heading3"/>
      </w:pPr>
      <w:r>
        <w:t>Materials</w:t>
      </w:r>
    </w:p>
    <w:p>
      <w:pPr>
        <w:pStyle w:val="ListBullet"/>
      </w:pPr>
      <w:r>
        <w:t>PET film substrate (Goodfellow, 250 μm thickness)</w:t>
      </w:r>
    </w:p>
    <w:p>
      <w:pPr>
        <w:pStyle w:val="ListBullet"/>
      </w:pPr>
      <w:r>
        <w:t>Wild-type PETase (purified in-house, batch #WT-2024-08)</w:t>
      </w:r>
    </w:p>
    <w:p>
      <w:pPr>
        <w:pStyle w:val="ListBullet"/>
      </w:pPr>
      <w:r>
        <w:t>Glycine-NaOH buffer (pH 9.0, 50 mM)</w:t>
      </w:r>
    </w:p>
    <w:p>
      <w:pPr>
        <w:pStyle w:val="ListBullet"/>
      </w:pPr>
      <w:r>
        <w:t>HPLC-grade methanol and acetonitrile</w:t>
      </w:r>
    </w:p>
    <w:p>
      <w:pPr>
        <w:pStyle w:val="ListBullet"/>
      </w:pPr>
      <w:r>
        <w:t>Terephthalic acid (TPA) standard (Sigma-Aldrich, ≥99%)</w:t>
      </w:r>
    </w:p>
    <w:p>
      <w:pPr>
        <w:pStyle w:val="Heading3"/>
      </w:pPr>
      <w:r>
        <w:t>Procedure</w:t>
      </w:r>
    </w:p>
    <w:p>
      <w:r>
        <w:rPr>
          <w:b w:val="0"/>
          <w:i w:val="0"/>
        </w:rPr>
        <w:t>PET film was cut into 1 cm² pieces and pre-washed with 70% ethanol followed by deionized water. Each piece was incubated in a 1 mL reaction volume containing 100 nM enzyme in glycine-NaOH buffer at 30 °C with orbital shaking at 150 rpm. Reactions were terminated at 24, 48, and 72 hours by transferring to 95 °C for 10 minutes. TPA release was quantified by HPLC.</w:t>
      </w:r>
    </w:p>
    <w:p>
      <w:pPr>
        <w:pStyle w:val="Heading3"/>
      </w:pPr>
      <w:r>
        <w:t>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Time (h)</w:t>
            </w:r>
          </w:p>
        </w:tc>
        <w:tc>
          <w:tcPr>
            <w:tcW w:type="dxa" w:w="2340"/>
          </w:tcPr>
          <w:p>
            <w:r>
              <w:rPr>
                <w:b/>
              </w:rPr>
              <w:t>TPA Released (μM)</w:t>
            </w:r>
          </w:p>
        </w:tc>
        <w:tc>
          <w:tcPr>
            <w:tcW w:type="dxa" w:w="2340"/>
          </w:tcPr>
          <w:p>
            <w:r>
              <w:rPr>
                <w:b/>
              </w:rPr>
              <w:t>BHET (μM)</w:t>
            </w:r>
          </w:p>
        </w:tc>
        <w:tc>
          <w:tcPr>
            <w:tcW w:type="dxa" w:w="2340"/>
          </w:tcPr>
          <w:p>
            <w:r>
              <w:rPr>
                <w:b/>
              </w:rPr>
              <w:t>Conversion (%)</w:t>
            </w:r>
          </w:p>
        </w:tc>
      </w:tr>
      <w:tr>
        <w:tc>
          <w:tcPr>
            <w:tcW w:type="dxa" w:w="2340"/>
          </w:tcPr>
          <w:p>
            <w:r>
              <w:t>24</w:t>
            </w:r>
          </w:p>
        </w:tc>
        <w:tc>
          <w:tcPr>
            <w:tcW w:type="dxa" w:w="2340"/>
          </w:tcPr>
          <w:p>
            <w:r>
              <w:t>12.3 ± 0.8</w:t>
            </w:r>
          </w:p>
        </w:tc>
        <w:tc>
          <w:tcPr>
            <w:tcW w:type="dxa" w:w="2340"/>
          </w:tcPr>
          <w:p>
            <w:r>
              <w:t>3.1 ± 0.2</w:t>
            </w:r>
          </w:p>
        </w:tc>
        <w:tc>
          <w:tcPr>
            <w:tcW w:type="dxa" w:w="2340"/>
          </w:tcPr>
          <w:p>
            <w:r>
              <w:t>2.1</w:t>
            </w:r>
          </w:p>
        </w:tc>
      </w:tr>
      <w:tr>
        <w:tc>
          <w:tcPr>
            <w:tcW w:type="dxa" w:w="2340"/>
          </w:tcPr>
          <w:p>
            <w:r>
              <w:t>48</w:t>
            </w:r>
          </w:p>
        </w:tc>
        <w:tc>
          <w:tcPr>
            <w:tcW w:type="dxa" w:w="2340"/>
          </w:tcPr>
          <w:p>
            <w:r>
              <w:t>28.7 ± 1.4</w:t>
            </w:r>
          </w:p>
        </w:tc>
        <w:tc>
          <w:tcPr>
            <w:tcW w:type="dxa" w:w="2340"/>
          </w:tcPr>
          <w:p>
            <w:r>
              <w:t>5.8 ± 0.4</w:t>
            </w:r>
          </w:p>
        </w:tc>
        <w:tc>
          <w:tcPr>
            <w:tcW w:type="dxa" w:w="2340"/>
          </w:tcPr>
          <w:p>
            <w:r>
              <w:t>4.9</w:t>
            </w:r>
          </w:p>
        </w:tc>
      </w:tr>
      <w:tr>
        <w:tc>
          <w:tcPr>
            <w:tcW w:type="dxa" w:w="2340"/>
          </w:tcPr>
          <w:p>
            <w:r>
              <w:t>72</w:t>
            </w:r>
          </w:p>
        </w:tc>
        <w:tc>
          <w:tcPr>
            <w:tcW w:type="dxa" w:w="2340"/>
          </w:tcPr>
          <w:p>
            <w:r>
              <w:t>51.2 ± 2.1</w:t>
            </w:r>
          </w:p>
        </w:tc>
        <w:tc>
          <w:tcPr>
            <w:tcW w:type="dxa" w:w="2340"/>
          </w:tcPr>
          <w:p>
            <w:r>
              <w:t>9.2 ± 0.6</w:t>
            </w:r>
          </w:p>
        </w:tc>
        <w:tc>
          <w:tcPr>
            <w:tcW w:type="dxa" w:w="2340"/>
          </w:tcPr>
          <w:p>
            <w:r>
              <w:t>8.7</w:t>
            </w:r>
          </w:p>
        </w:tc>
      </w:tr>
    </w:tbl>
    <w:p>
      <w:r>
        <w:br w:type="page"/>
      </w:r>
    </w:p>
    <w:p>
      <w:pPr>
        <w:pStyle w:val="Heading1"/>
      </w:pPr>
      <w:r>
        <w:t>Experiment Log — February 2025</w:t>
      </w:r>
    </w:p>
    <w:p>
      <w:pPr>
        <w:pStyle w:val="Heading2"/>
      </w:pPr>
      <w:r>
        <w:t>Experiment 007: Variant IsPETase-S290P/C264A Characterization</w:t>
      </w:r>
    </w:p>
    <w:p>
      <w:r>
        <w:rPr>
          <w:b/>
          <w:i w:val="0"/>
        </w:rPr>
        <w:t>Date: February 3, 2025</w:t>
      </w:r>
    </w:p>
    <w:p>
      <w:r>
        <w:rPr>
          <w:b w:val="0"/>
          <w:i w:val="0"/>
        </w:rPr>
        <w:t>Operator: Priya Nair</w:t>
      </w:r>
    </w:p>
    <w:p>
      <w:r>
        <w:rPr>
          <w:b w:val="0"/>
          <w:i w:val="0"/>
        </w:rPr>
        <w:t>Thermostability measurements were conducted using differential scanning fluorimetry (DSF). The double mutant S290P/C264A showed a significant improvement in thermal stability compared to wild-type, with a melting temperature (Tm) of 62.4 °C versus 46.1 °C for WT.</w:t>
      </w:r>
    </w:p>
    <w:p>
      <w:pPr>
        <w:pStyle w:val="Heading2"/>
      </w:pPr>
      <w:r>
        <w:t>Experiment 008: pH Optimization Screen</w:t>
      </w:r>
    </w:p>
    <w:p>
      <w:r>
        <w:rPr>
          <w:b/>
          <w:i w:val="0"/>
        </w:rPr>
        <w:t>Date: February 17, 2025</w:t>
      </w:r>
    </w:p>
    <w:p>
      <w:r>
        <w:rPr>
          <w:b w:val="0"/>
          <w:i w:val="0"/>
        </w:rPr>
        <w:t>Operator: Marcus Chen</w:t>
      </w:r>
    </w:p>
    <w:p>
      <w:r>
        <w:rPr>
          <w:b w:val="0"/>
          <w:i w:val="0"/>
        </w:rPr>
        <w:t>A pH range screen from 6.0 to 10.0 was conducted using Britton-Robinson buffer system. Optimal activity was observed at pH 9.0 consistent with literature values. Activity dropped sharply below pH 7.5 and above pH 9.5, indicating narrow pH tolerance.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pH</w:t>
            </w:r>
          </w:p>
        </w:tc>
        <w:tc>
          <w:tcPr>
            <w:tcW w:type="dxa" w:w="3120"/>
          </w:tcPr>
          <w:p>
            <w:r>
              <w:rPr>
                <w:b/>
              </w:rPr>
              <w:t>Relative Activity (%)</w:t>
            </w:r>
          </w:p>
        </w:tc>
        <w:tc>
          <w:tcPr>
            <w:tcW w:type="dxa" w:w="3120"/>
          </w:tcPr>
          <w:p>
            <w:r>
              <w:rPr>
                <w:b/>
              </w:rPr>
              <w:t>Notes</w:t>
            </w:r>
          </w:p>
        </w:tc>
      </w:tr>
      <w:tr>
        <w:tc>
          <w:tcPr>
            <w:tcW w:type="dxa" w:w="3120"/>
          </w:tcPr>
          <w:p>
            <w:r>
              <w:t>6.0</w:t>
            </w:r>
          </w:p>
        </w:tc>
        <w:tc>
          <w:tcPr>
            <w:tcW w:type="dxa" w:w="3120"/>
          </w:tcPr>
          <w:p>
            <w:r>
              <w:t>8.2</w:t>
            </w:r>
          </w:p>
        </w:tc>
        <w:tc>
          <w:tcPr>
            <w:tcW w:type="dxa" w:w="3120"/>
          </w:tcPr>
          <w:p>
            <w:r>
              <w:t>Low activity</w:t>
            </w:r>
          </w:p>
        </w:tc>
      </w:tr>
      <w:tr>
        <w:tc>
          <w:tcPr>
            <w:tcW w:type="dxa" w:w="3120"/>
          </w:tcPr>
          <w:p>
            <w:r>
              <w:t>7.0</w:t>
            </w:r>
          </w:p>
        </w:tc>
        <w:tc>
          <w:tcPr>
            <w:tcW w:type="dxa" w:w="3120"/>
          </w:tcPr>
          <w:p>
            <w:r>
              <w:t>34.7</w:t>
            </w:r>
          </w:p>
        </w:tc>
        <w:tc>
          <w:tcPr>
            <w:tcW w:type="dxa" w:w="3120"/>
          </w:tcPr>
          <w:p>
            <w:r>
              <w:t>Moderate</w:t>
            </w:r>
          </w:p>
        </w:tc>
      </w:tr>
      <w:tr>
        <w:tc>
          <w:tcPr>
            <w:tcW w:type="dxa" w:w="3120"/>
          </w:tcPr>
          <w:p>
            <w:r>
              <w:t>8.0</w:t>
            </w:r>
          </w:p>
        </w:tc>
        <w:tc>
          <w:tcPr>
            <w:tcW w:type="dxa" w:w="3120"/>
          </w:tcPr>
          <w:p>
            <w:r>
              <w:t>76.3</w:t>
            </w:r>
          </w:p>
        </w:tc>
        <w:tc>
          <w:tcPr>
            <w:tcW w:type="dxa" w:w="3120"/>
          </w:tcPr>
          <w:p>
            <w:r>
              <w:t>Good</w:t>
            </w:r>
          </w:p>
        </w:tc>
      </w:tr>
      <w:tr>
        <w:tc>
          <w:tcPr>
            <w:tcW w:type="dxa" w:w="3120"/>
          </w:tcPr>
          <w:p>
            <w:r>
              <w:t>9.0</w:t>
            </w:r>
          </w:p>
        </w:tc>
        <w:tc>
          <w:tcPr>
            <w:tcW w:type="dxa" w:w="3120"/>
          </w:tcPr>
          <w:p>
            <w:r>
              <w:t>100.0</w:t>
            </w:r>
          </w:p>
        </w:tc>
        <w:tc>
          <w:tcPr>
            <w:tcW w:type="dxa" w:w="3120"/>
          </w:tcPr>
          <w:p>
            <w:r>
              <w:t>Optimal</w:t>
            </w:r>
          </w:p>
        </w:tc>
      </w:tr>
      <w:tr>
        <w:tc>
          <w:tcPr>
            <w:tcW w:type="dxa" w:w="3120"/>
          </w:tcPr>
          <w:p>
            <w:r>
              <w:t>10.0</w:t>
            </w:r>
          </w:p>
        </w:tc>
        <w:tc>
          <w:tcPr>
            <w:tcW w:type="dxa" w:w="3120"/>
          </w:tcPr>
          <w:p>
            <w:r>
              <w:t>52.1</w:t>
            </w:r>
          </w:p>
        </w:tc>
        <w:tc>
          <w:tcPr>
            <w:tcW w:type="dxa" w:w="3120"/>
          </w:tcPr>
          <w:p>
            <w:r>
              <w:t>Reduced</w:t>
            </w:r>
          </w:p>
        </w:tc>
      </w:tr>
    </w:tbl>
    <w:p>
      <w:r>
        <w:br w:type="page"/>
      </w:r>
    </w:p>
    <w:p>
      <w:pPr>
        <w:pStyle w:val="Heading1"/>
      </w:pPr>
      <w:r>
        <w:t>Structural Analysis</w:t>
      </w:r>
    </w:p>
    <w:p>
      <w:pPr>
        <w:pStyle w:val="Heading2"/>
      </w:pPr>
      <w:r>
        <w:t>Cryo-EM Sample Preparation</w:t>
      </w:r>
    </w:p>
    <w:p>
      <w:r>
        <w:rPr>
          <w:b/>
          <w:i w:val="0"/>
        </w:rPr>
        <w:t>Date: March 5, 2025</w:t>
      </w:r>
    </w:p>
    <w:p>
      <w:r>
        <w:rPr>
          <w:b w:val="0"/>
          <w:i w:val="0"/>
        </w:rPr>
        <w:t>Operator: Dr. Elena Rivera</w:t>
      </w:r>
    </w:p>
    <w:p>
      <w:r>
        <w:rPr>
          <w:b w:val="0"/>
          <w:i w:val="0"/>
        </w:rPr>
        <w:t>Purified IsPETase-S290P/C264A at 2 mg/mL was applied to glow-discharged Quantifoil R1.2/1.3 holey carbon grids. Grids were plunge-frozen in liquid ethane using a Vitrobot Mark IV (blot force 3, blot time 4 s, 100% humidity, 4 °C). Data collection was performed at the National Cryo-EM Facility on a Titan Krios equipped with a Falcon 4i detector at 300 kV.</w:t>
      </w:r>
    </w:p>
    <w:p>
      <w:pPr>
        <w:pStyle w:val="Heading3"/>
      </w:pPr>
      <w:r>
        <w:t>Data Collection Parameters</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Microscope</w:t>
            </w:r>
          </w:p>
        </w:tc>
        <w:tc>
          <w:tcPr>
            <w:tcW w:type="dxa" w:w="4680"/>
          </w:tcPr>
          <w:p>
            <w:r>
              <w:t>Titan Krios G3i</w:t>
            </w:r>
          </w:p>
        </w:tc>
      </w:tr>
      <w:tr>
        <w:tc>
          <w:tcPr>
            <w:tcW w:type="dxa" w:w="4680"/>
          </w:tcPr>
          <w:p>
            <w:r>
              <w:t>Voltage</w:t>
            </w:r>
          </w:p>
        </w:tc>
        <w:tc>
          <w:tcPr>
            <w:tcW w:type="dxa" w:w="4680"/>
          </w:tcPr>
          <w:p>
            <w:r>
              <w:t>300 kV</w:t>
            </w:r>
          </w:p>
        </w:tc>
      </w:tr>
      <w:tr>
        <w:tc>
          <w:tcPr>
            <w:tcW w:type="dxa" w:w="4680"/>
          </w:tcPr>
          <w:p>
            <w:r>
              <w:t>Detector</w:t>
            </w:r>
          </w:p>
        </w:tc>
        <w:tc>
          <w:tcPr>
            <w:tcW w:type="dxa" w:w="4680"/>
          </w:tcPr>
          <w:p>
            <w:r>
              <w:t>Falcon 4i (counting mode)</w:t>
            </w:r>
          </w:p>
        </w:tc>
      </w:tr>
      <w:tr>
        <w:tc>
          <w:tcPr>
            <w:tcW w:type="dxa" w:w="4680"/>
          </w:tcPr>
          <w:p>
            <w:r>
              <w:t>Pixel size</w:t>
            </w:r>
          </w:p>
        </w:tc>
        <w:tc>
          <w:tcPr>
            <w:tcW w:type="dxa" w:w="4680"/>
          </w:tcPr>
          <w:p>
            <w:r>
              <w:t>0.824 Å/pixel</w:t>
            </w:r>
          </w:p>
        </w:tc>
      </w:tr>
      <w:tr>
        <w:tc>
          <w:tcPr>
            <w:tcW w:type="dxa" w:w="4680"/>
          </w:tcPr>
          <w:p>
            <w:r>
              <w:t>Total dose</w:t>
            </w:r>
          </w:p>
        </w:tc>
        <w:tc>
          <w:tcPr>
            <w:tcW w:type="dxa" w:w="4680"/>
          </w:tcPr>
          <w:p>
            <w:r>
              <w:t>50 e⁻/Å²</w:t>
            </w:r>
          </w:p>
        </w:tc>
      </w:tr>
      <w:tr>
        <w:tc>
          <w:tcPr>
            <w:tcW w:type="dxa" w:w="4680"/>
          </w:tcPr>
          <w:p>
            <w:r>
              <w:t>Defocus range</w:t>
            </w:r>
          </w:p>
        </w:tc>
        <w:tc>
          <w:tcPr>
            <w:tcW w:type="dxa" w:w="4680"/>
          </w:tcPr>
          <w:p>
            <w:r>
              <w:t>−1.0 to −3.0 μm</w:t>
            </w:r>
          </w:p>
        </w:tc>
      </w:tr>
    </w:tbl>
    <w:p>
      <w:pPr>
        <w:pStyle w:val="Heading3"/>
      </w:pPr>
      <w:r>
        <w:t>Preliminary Structural Results</w:t>
      </w:r>
    </w:p>
    <w:p>
      <w:r>
        <w:rPr>
          <w:b w:val="0"/>
          <w:i w:val="0"/>
        </w:rPr>
        <w:t>Initial 2D class averages showed clear secondary structure features consistent with a globular enzyme with visible alpha-helices. 3D reconstruction at 2.8 Å resolution revealed a modified active site geometry in the double mutant with altered loop conformation around residues 285–295, potentially explaining the increased thermal stability.</w:t>
      </w:r>
    </w:p>
    <w:p>
      <w:r>
        <w:br w:type="page"/>
      </w:r>
    </w:p>
    <w:p>
      <w:pPr>
        <w:pStyle w:val="Heading1"/>
      </w:pPr>
      <w:r>
        <w:t>Conclusions and Next Steps</w:t>
      </w:r>
    </w:p>
    <w:p>
      <w:pPr>
        <w:pStyle w:val="Heading2"/>
      </w:pPr>
      <w:r>
        <w:t>Summary of Key Findings (Jan–Mar 2025)</w:t>
      </w:r>
    </w:p>
    <w:p>
      <w:pPr>
        <w:pStyle w:val="ListNumber"/>
      </w:pPr>
      <w:r>
        <w:t>Wild-type PETase achieves 8.7% PET conversion in 72 h under baseline conditions.</w:t>
      </w:r>
    </w:p>
    <w:p>
      <w:pPr>
        <w:pStyle w:val="ListNumber"/>
      </w:pPr>
      <w:r>
        <w:t>The S290P/C264A double mutant exhibits a 16.3 °C increase in melting temperature.</w:t>
      </w:r>
    </w:p>
    <w:p>
      <w:pPr>
        <w:pStyle w:val="ListNumber"/>
      </w:pPr>
      <w:r>
        <w:t>Optimal reaction pH is 9.0; activity is sensitive to pH deviations &gt; 1 unit.</w:t>
      </w:r>
    </w:p>
    <w:p>
      <w:pPr>
        <w:pStyle w:val="ListNumber"/>
      </w:pPr>
      <w:r>
        <w:t>Cryo-EM structure at 2.8 Å resolution reveals modified active site loop conformation.</w:t>
      </w:r>
    </w:p>
    <w:p>
      <w:pPr>
        <w:pStyle w:val="Heading2"/>
      </w:pPr>
      <w:r>
        <w:t>Planned Experiments (April–June 2025)</w:t>
      </w:r>
    </w:p>
    <w:p>
      <w:r>
        <w:rPr>
          <w:b w:val="0"/>
          <w:i w:val="0"/>
        </w:rPr>
        <w:t>Future work will focus on engineering additional stabilizing mutations identified from the cryo-EM structure, including potential disulfide bonds and hydrophobic core packing improvements. Kinetic characterization using stopped-flow fluorescence will provide kcat and KM values for wild-type and variants.</w:t>
      </w:r>
    </w:p>
    <w:p>
      <w:r>
        <w:rPr>
          <w:b w:val="0"/>
          <w:i w:val="0"/>
        </w:rPr>
        <w:t>Collaborative project with the Materials Science department will explore surface functionalization of PET films to enhance enzyme accessibility. Industrial scale-up feasibility assessment is planned for Q3 2025.</w:t>
      </w:r>
    </w:p>
    <w:p>
      <w:pPr>
        <w:pStyle w:val="Heading2"/>
      </w:pPr>
      <w:r>
        <w:t>References</w:t>
      </w:r>
    </w:p>
    <w:p>
      <w:pPr>
        <w:pStyle w:val="ListNumber"/>
      </w:pPr>
      <w:r>
        <w:t>Yoshida, S. et al. (2016) A bacterium that degrades and assimilates poly(ethylene terephthalate). Science 351, 1196–1199.</w:t>
      </w:r>
    </w:p>
    <w:p>
      <w:pPr>
        <w:pStyle w:val="ListNumber"/>
      </w:pPr>
      <w:r>
        <w:t>Austin, H.P. et al. (2018) Characterization and engineering of a plastic-degrading aromatic polyesterase. PNAS 115, E4350–E4357.</w:t>
      </w:r>
    </w:p>
    <w:p>
      <w:pPr>
        <w:pStyle w:val="ListNumber"/>
      </w:pPr>
      <w:r>
        <w:t>Tournier, V. et al. (2020) An engineered PET depolymerase to break down and recycle plastic bottles. Nature 580, 216–219.</w:t>
      </w:r>
    </w:p>
    <w:p>
      <w:pPr>
        <w:pStyle w:val="ListNumber"/>
      </w:pPr>
      <w:r>
        <w:t>Lu, H. et al. (2022) Machine learning-aided engineering of hydrolases for PET depolymerization. Nature 604, 662–667.</w:t>
      </w:r>
    </w:p>
    <w:sectPr w:rsidR="00FC693F" w:rsidRPr="0006063C" w:rsidSect="00034616">
      <w:headerReference w:type="default" r:id="rId9"/>
      <w:pgSz w:w="12240" w:h="15840"/>
      <w:pgMar w:top="172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Research Notebook</dc:title>
  <dc:subject>Biochemistry Research</dc:subject>
  <dc:creator>Dr. Elena Rivera</dc:creator>
  <cp:keywords>laboratory, research, biochemistry, experiments</cp:keywords>
  <dc:description>generated by python-docx</dc:description>
  <cp:lastModifiedBy/>
  <cp:revision>1</cp:revision>
  <dcterms:created xsi:type="dcterms:W3CDTF">2013-12-23T23:15:00Z</dcterms:created>
  <dcterms:modified xsi:type="dcterms:W3CDTF">2013-12-23T23:15:00Z</dcterms:modified>
  <cp:category/>
</cp:coreProperties>
</file>