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Annual Performance Review Report</w:t>
      </w:r>
    </w:p>
    <w:p>
      <w:pPr>
        <w:jc w:val="center"/>
      </w:pPr>
      <w:r>
        <w:rPr>
          <w:i/>
          <w:sz w:val="22"/>
        </w:rPr>
        <w:t>Prepared by: Dr. Eleanor Whitfield,  Director of Operations</w:t>
      </w:r>
    </w:p>
    <w:p>
      <w:pPr>
        <w:jc w:val="center"/>
      </w:pPr>
      <w:r>
        <w:rPr>
          <w:i/>
          <w:sz w:val="22"/>
        </w:rPr>
        <w:t>Date: March  15,  2025</w:t>
      </w:r>
    </w:p>
    <w:p/>
    <w:p>
      <w:pPr>
        <w:pStyle w:val="Heading1"/>
      </w:pPr>
      <w:r>
        <w:t>1.  Executive Summary</w:t>
      </w:r>
    </w:p>
    <w:p>
      <w:pPr>
        <w:spacing w:after="160"/>
      </w:pPr>
      <w:r>
        <w:t>This report summarizes the annual performance review for fiscal year 2024.  The company achieved significant milestones in product development and market expansion.  Revenue grew by 18.3% compared to the previous year,  exceeding our initial target of 15%.  Operational costs were reduced by 7.2% through strategic process improvements.  The workforce expanded from 342 to 398 employees,  representing a 16.4% increase.</w:t>
      </w:r>
    </w:p>
    <w:p>
      <w:pPr>
        <w:spacing w:after="160"/>
      </w:pPr>
      <w:r>
        <w:t>Key highlights include the successful launch of three new product lines,  the acquisition of two regional distributors,  and the opening of offices in Chicago and Austin.  The board of directors expressed strong confidence in the strategic direction for 2025.  Detailed breakdowns of each division are provided in subsequent sections of this report.</w:t>
      </w:r>
    </w:p>
    <w:p>
      <w:pPr>
        <w:pStyle w:val="Heading1"/>
      </w:pPr>
      <w:r>
        <w:t>2.  Financial Overview</w:t>
      </w:r>
    </w:p>
    <w:p>
      <w:pPr>
        <w:spacing w:after="160"/>
      </w:pPr>
      <w:r>
        <w:t>Total revenue for fiscal year 2024 reached $47.8 million,  up from $40.4 million in 2023.  North American operations contributed $31.2 million,  while international markets accounted for $16.6 million.  The EMEA region showed the strongest growth,  with a 24.7% year-over-year increase.  Latin American markets grew by 11.2%,  driven largely by Brazil and Mexico.</w:t>
      </w:r>
    </w:p>
    <w:p>
      <w:pPr>
        <w:spacing w:after="160"/>
      </w:pPr>
      <w:r>
        <w:t>Operating expenses totaled $34.6 million,  representing a 72.4% expense ratio.  Cost of goods sold was $19.1 million,  or 40% of total revenue.  Research and development spending increased to $4.3 million,   reflecting our commitment to product innovation.  General and administrative costs were held at $6.2 million,  flat compared to 2023.  Marketing expenditure rose to $5.0 million to support new product launches.</w:t>
      </w:r>
    </w:p>
    <w:p>
      <w:r>
        <w:br w:type="page"/>
      </w:r>
    </w:p>
    <w:p>
      <w:pPr>
        <w:pStyle w:val="Heading1"/>
      </w:pPr>
      <w:r>
        <w:t>3.  Operational Performance</w:t>
      </w:r>
    </w:p>
    <w:p>
      <w:pPr>
        <w:spacing w:after="160"/>
      </w:pPr>
      <w:r>
        <w:t>The operations division completed 14 of 15 planned capital projects during 2024.  The one delayed project,  the Phoenix warehouse expansion,  was rescheduled for Q1 2025 due to permitting delays.  Production efficiency improved by 9.1% across all facilities.  The Seattle manufacturing plant recorded zero lost-time incidents for the full year,  an achievement that earned recognition from the National Safety Council.</w:t>
      </w:r>
    </w:p>
    <w:p>
      <w:pPr>
        <w:spacing w:after="160"/>
      </w:pPr>
      <w:r>
        <w:t>Supply chain optimization efforts resulted in a 12.5% reduction in lead times.  Inventory turnover improved from 6.2 to 7.4 turns per year.  Three supplier partnerships were renegotiated,  yielding aggregate savings of $1.1 million.  The logistics network was restructured to incorporate two regional distribution hubs,  reducing average shipping times from 4.8 days to 3.2 days.</w:t>
      </w:r>
    </w:p>
    <w:p>
      <w:pPr>
        <w:pStyle w:val="Heading2"/>
      </w:pPr>
      <w:r>
        <w:t>3.1  Quality Assurance</w:t>
      </w:r>
    </w:p>
    <w:p>
      <w:pPr>
        <w:spacing w:after="160"/>
      </w:pPr>
      <w:r>
        <w:t>Customer defect rates fell to 0.32% in 2024,  down from 0.51% in 2023.  The quality assurance team conducted 1,847 product audits throughout the year.  ISO 9001:2015 recertification was completed in September,  with zero non-conformances noted.  A new automated inspection system was deployed at the Detroit facility,   improving detection rates by 31%.  Customer satisfaction scores for product quality averaged 4.6 out of 5.0.</w:t>
      </w:r>
    </w:p>
    <w:p>
      <w:pPr>
        <w:spacing w:after="160"/>
      </w:pPr>
      <w:r>
        <w:t>The returns processing center handled 2,314 product returns,  a 15% decrease from the prior year.  Average resolution time dropped from 8.3 days to 5.1 days.  Root cause analysis identified packaging deficiencies as the leading cause,  leading to a redesign program that launched in Q3.  Net Promoter Score improved from 42 to 58 over the course of the year.</w:t>
      </w:r>
    </w:p>
    <w:p>
      <w:pPr>
        <w:pStyle w:val="Heading2"/>
      </w:pPr>
      <w:r>
        <w:t>3.2  Human Resources</w:t>
      </w:r>
    </w:p>
    <w:p>
      <w:pPr>
        <w:spacing w:after="160"/>
      </w:pPr>
      <w:r>
        <w:t>Employee headcount grew from 342 to 398 by year-end.  The company recruited 87 new employees and saw 31 departures,  resulting in a voluntary turnover rate of 7.8%.  New hires were concentrated in engineering (28),  sales (22),  and customer support (19).  Average time-to-fill for open positions decreased from 47 days to 33 days through improved recruitment processes.</w:t>
      </w:r>
    </w:p>
    <w:p>
      <w:r>
        <w:br w:type="page"/>
      </w:r>
    </w:p>
    <w:p>
      <w:pPr>
        <w:pStyle w:val="Heading1"/>
      </w:pPr>
      <w:r>
        <w:t>4.  Sales and Marketing</w:t>
      </w:r>
    </w:p>
    <w:p>
      <w:pPr>
        <w:spacing w:after="160"/>
      </w:pPr>
      <w:r>
        <w:t>The sales division surpassed its annual target for the second consecutive year.  New customer acquisitions totaled 412,  with an average contract value of $38,500.  The enterprise segment grew by 29.4%,  driven by three large multi-year contracts.  Mid-market sales increased 14.7%,  while the SMB channel grew 8.2%.  International sales representatives closed 94 new accounts across 18 countries.</w:t>
      </w:r>
    </w:p>
    <w:p>
      <w:pPr>
        <w:spacing w:after="160"/>
      </w:pPr>
      <w:r>
        <w:t>The marketing team launched a comprehensive rebrand initiative in Q2.  Digital marketing spend totaled $2.1 million,  yielding a cost-per-lead of $312.  The company website recorded 1.4 million unique visitors,    a 38% increase over 2023.  Trade show participation included 12 major industry events.  The product launch campaign for the ProSeries 400 achieved an earned media value of $4.2 million against a paid budget of $680,000.</w:t>
      </w:r>
    </w:p>
    <w:p>
      <w:pPr>
        <w:pStyle w:val="Heading2"/>
      </w:pPr>
      <w:r>
        <w:t>4.1  Customer Retention</w:t>
      </w:r>
    </w:p>
    <w:p>
      <w:pPr>
        <w:spacing w:after="160"/>
      </w:pPr>
      <w:r>
        <w:t>Customer retention rate reached 91.4% in 2024,  up from 88.7% in 2023.  The customer success team managed 1,203 active accounts.  Quarterly business reviews were conducted with the top 150 accounts,  representing 67% of annual recurring revenue.  Upsell revenue from existing customers totaled $6.8 million,   accounting for 14.2% of total revenue.  Churn was concentrated in the SMB segment,  primarily among customers with fewer than 10 licenses.</w:t>
      </w:r>
    </w:p>
    <w:p>
      <w:pPr>
        <w:spacing w:after="160"/>
      </w:pPr>
      <w:r>
        <w:t>Net revenue retention stood at 108%,  indicating strong expansion within the existing customer base.  The new customer onboarding program was redesigned in Q1,  reducing time-to-value from 45 days to 28 days.  Customer health scores improved across all tiers.  A new loyalty program was piloted with 200 customers in Q4,  with early results showing a 22% increase in product adoption rates.</w:t>
      </w:r>
    </w:p>
    <w:p>
      <w:pPr>
        <w:pStyle w:val="Heading2"/>
      </w:pPr>
      <w:r>
        <w:t>4.2  Product Development</w:t>
      </w:r>
    </w:p>
    <w:p>
      <w:pPr>
        <w:spacing w:after="160"/>
      </w:pPr>
      <w:r>
        <w:t>The product team shipped 3 major releases and 14 minor updates in 2024.  The ProSeries 400 launch in May exceeded first-quarter sales projections by 31%.  The DataSync Pro integration platform,  released in August,    addressed a key gap identified in customer surveys.  The mobile application reached 52,000 active users,  tripling the 2023 year-end figure.  A total of 247 feature requests were addressed,  representing 74% of the backlog entering the year.</w:t>
      </w:r>
    </w:p>
    <w:p>
      <w:r>
        <w:br w:type="page"/>
      </w:r>
    </w:p>
    <w:p>
      <w:pPr>
        <w:pStyle w:val="Heading1"/>
      </w:pPr>
      <w:r>
        <w:t>5.  Strategic Outlook for 2025</w:t>
      </w:r>
    </w:p>
    <w:p>
      <w:pPr>
        <w:spacing w:after="160"/>
      </w:pPr>
      <w:r>
        <w:t>The company enters 2025 with strong momentum across all business segments.  The board of directors approved a strategic plan targeting 20% revenue growth.  Three geographic markets have been identified for expansion:  Southeast Asia,  Scandinavia,  and the Gulf Cooperation Council region.  A capital expenditure budget of $8.4 million has been approved for facility upgrades and technology investments.</w:t>
      </w:r>
    </w:p>
    <w:p>
      <w:pPr>
        <w:spacing w:after="160"/>
      </w:pPr>
      <w:r>
        <w:t>Key strategic priorities include:  accelerating product development velocity,    deepening enterprise customer relationships,  expanding the partner ecosystem,  and investing in employee development programs.  The talent acquisition plan targets 65 new hires,  with a focus on software engineering,  data science,  and international sales.  Compensation benchmarking was completed in Q4 2024,  and a revised pay structure will be implemented in Q1 2025.</w:t>
      </w:r>
    </w:p>
    <w:p>
      <w:pPr>
        <w:pStyle w:val="Heading2"/>
      </w:pPr>
      <w:r>
        <w:t>5.1  Risk Management</w:t>
      </w:r>
    </w:p>
    <w:p>
      <w:pPr>
        <w:spacing w:after="160"/>
      </w:pPr>
      <w:r>
        <w:t>The risk management committee identified 12 material risks for 2025.  Supply chain disruption remains the highest-rated risk,  driven by geopolitical uncertainty and raw material price volatility.  Cybersecurity risk was elevated to Tier 1 following two incidents in the broader industry during Q3.  Regulatory compliance requirements are expected to increase,  particularly in the EU and California.  A comprehensive business continuity plan was updated and tested in November 2024.</w:t>
      </w:r>
    </w:p>
    <w:p>
      <w:pPr>
        <w:spacing w:after="160"/>
      </w:pPr>
      <w:r>
        <w:t>The company maintains a robust insurance portfolio covering property,  liability,  directors and officers,  and cyber risks.  Cash reserves stand at $12.3 million,  providing approximately 4.3 months of operating runway.  A $10 million revolving credit facility remains undrawn.  The audit committee reviewed internal controls in Q3 and found no material weaknesses.  External auditors issued an unqualified opinion on the financial statements for fiscal year 2024.</w:t>
      </w:r>
    </w:p>
    <w:p>
      <w:pPr>
        <w:pStyle w:val="Heading1"/>
      </w:pPr>
      <w:r>
        <w:t>6.  Conclusion</w:t>
      </w:r>
    </w:p>
    <w:p>
      <w:pPr>
        <w:spacing w:after="160"/>
      </w:pPr>
      <w:r>
        <w:t>Fiscal year 2024 represents one of the strongest performance years in the company's history.  The results reflect the dedication of our team,  the loyalty of our customers,  and the guidance of our board.  We are well-positioned to achieve our 2025 goals.  I would like to thank all employees for their extraordinary contributions,    our partners for their continued support,  and our shareholders for their confidence in our strategic direction.  We look forward to reporting continued progress throughout the coming year.</w:t>
      </w:r>
    </w:p>
    <w:p>
      <w:pPr>
        <w:spacing w:after="160"/>
      </w:pPr>
      <w:r>
        <w:t>This document is confidential and intended solely for the use of authorized recipients.  Any reproduction or distribution of this report,  in whole or in part,  without prior written consent is strictly prohibited.  Questions regarding this report should be directed to the Office of the CFO.  Contact:  finance@company.com   or  ext.  4210.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