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2"/>
        </w:rPr>
        <w:t>ENVIRONMENTAL IMPACT ASSESSMENT</w:t>
      </w:r>
    </w:p>
    <w:p>
      <w:pPr>
        <w:spacing w:after="120"/>
        <w:jc w:val="center"/>
      </w:pPr>
      <w:r>
        <w:rPr>
          <w:b/>
          <w:sz w:val="26"/>
        </w:rPr>
        <w:t>Greenfield Solar Farm Development Project</w:t>
      </w:r>
    </w:p>
    <w:p>
      <w:pPr>
        <w:spacing w:after="480"/>
        <w:jc w:val="center"/>
      </w:pPr>
      <w:r>
        <w:rPr>
          <w:i/>
          <w:sz w:val="20"/>
        </w:rPr>
        <w:t>Reference No: EIA-2025-0047 | Prepared by: Meridian Environmental Consultants Ltd</w:t>
      </w:r>
    </w:p>
    <w:p>
      <w:pPr>
        <w:pStyle w:val="Heading1"/>
        <w:spacing w:before="360"/>
      </w:pPr>
      <w:r>
        <w:t>1. Executive Summary</w:t>
      </w:r>
    </w:p>
    <w:p>
      <w:r>
        <w:t>This Environmental Impact Assessment (EIA) has been prepared in accordance with the National Environmental Policy Act (NEPA) and associated regulations. The assessment evaluates the potential environmental impacts arising from the proposed construction and operation of the Greenfield Solar Farm Development Project, located in Harwick County, spanning approximately 450 hectares of predominantly agricultural land.</w:t>
      </w:r>
    </w:p>
    <w:p>
      <w:r>
        <w:t>The proposed project involves the installation of 120,000 photovoltaic panels with a total generation capacity of 60 MW. The development will include associated infrastructure including access roads, substation facilities, and a maintenance compound. The operational lifetime of the facility is anticipated to be 35 years, after which full decommissioning and site restoration will be undertaken.</w:t>
      </w:r>
    </w:p>
    <w:p>
      <w:r>
        <w:t>Key findings of this assessment indicate that while the project will result in some degree of environmental change, all significant impacts can be mitigated to acceptable levels through the implementation of the proposed Environmental Management Plan (EMP). The net environmental benefit of the project, particularly in terms of carbon emission reductions, is considered to substantially outweigh any residual adverse effects.</w:t>
      </w:r>
    </w:p>
    <w:p>
      <w:pPr>
        <w:pStyle w:val="Heading1"/>
      </w:pPr>
      <w:r>
        <w:t>2. Project Description</w:t>
      </w:r>
    </w:p>
    <w:p>
      <w:pPr>
        <w:pStyle w:val="Heading2"/>
      </w:pPr>
      <w:r>
        <w:t>2.1 Project Background</w:t>
      </w:r>
    </w:p>
    <w:p>
      <w:r>
        <w:t>Meridian Energy Corporation (the Applicant) proposes to develop a utility-scale solar photovoltaic farm on land currently used for cereal crop agriculture. The project site is located approximately 8 km north of Harwick Town Centre, with access via the B4321 road. The site boundary covers an area of 452.3 hectares, of which approximately 380 hectares will be directly used for solar panel installation.</w:t>
      </w:r>
    </w:p>
    <w:p>
      <w:pPr>
        <w:pStyle w:val="Heading2"/>
      </w:pPr>
      <w:r>
        <w:t>2.2 Project Components</w:t>
      </w:r>
    </w:p>
    <w:p>
      <w:r>
        <w:t>The project comprises the following primary components:</w:t>
      </w:r>
    </w:p>
    <w:p>
      <w:pPr>
        <w:pStyle w:val="ListBullet"/>
      </w:pPr>
      <w:r>
        <w:t>Photovoltaic Array: 120,000 bifacial monocrystalline silicon panels, each rated at 500W, mounted on single-axis tracking systems to optimise solar yield throughout the day.</w:t>
      </w:r>
    </w:p>
    <w:p>
      <w:pPr>
        <w:pStyle w:val="ListBullet"/>
      </w:pPr>
      <w:r>
        <w:t>Inverter Stations: 24 inverter stations distributed across the site, each serving a cluster of approximately 5,000 panels.</w:t>
      </w:r>
    </w:p>
    <w:p>
      <w:pPr>
        <w:pStyle w:val="ListBullet"/>
      </w:pPr>
      <w:r>
        <w:t>Grid Connection: Underground cable route extending 3.2 km to the existing 132kV substation at Harwick North.</w:t>
      </w:r>
    </w:p>
    <w:p>
      <w:pPr>
        <w:pStyle w:val="ListBullet"/>
      </w:pPr>
      <w:r>
        <w:t>Site Security &amp; Management: 2.4m perimeter fencing, CCTV surveillance, and a central monitoring and control building of approximately 250m².</w:t>
      </w:r>
    </w:p>
    <w:p>
      <w:r>
        <w:br w:type="page"/>
      </w:r>
    </w:p>
    <w:p>
      <w:pPr>
        <w:pStyle w:val="Heading1"/>
      </w:pPr>
      <w:r>
        <w:t>3. Environmental Baseline</w:t>
      </w:r>
    </w:p>
    <w:p>
      <w:pPr>
        <w:pStyle w:val="Heading2"/>
      </w:pPr>
      <w:r>
        <w:t>3.1 Ecology and Biodiversity</w:t>
      </w:r>
    </w:p>
    <w:p>
      <w:r>
        <w:t>A Phase 1 Habitat Survey was conducted by Dawnfield Ecology Ltd during April and June 2024. The survey identified the site as predominantly improved grassland and arable farmland of low to moderate ecological value. The western boundary abuts an area of semi-improved grassland, and a network of hedgerows dissects the site, some of which qualify as "Important Hedgerows" under the Hedgerow Regulations 1997.</w:t>
      </w:r>
    </w:p>
    <w:p>
      <w:r>
        <w:t>Protected species surveys identified populations of brown hare (Lepus europaeus) foraging across the site, nesting lapwing (Vanellus vanellus) in the northern fields, and evidence of badger (Meles meles) activity along field margins. No evidence of great crested newt (Triturus cristatus) was found, and the site was assessed as having negligible bat roost potential within structures.</w:t>
      </w:r>
    </w:p>
    <w:p>
      <w:pPr>
        <w:pStyle w:val="Heading2"/>
      </w:pPr>
      <w:r>
        <w:t>3.2 Hydrology and Water Resources</w:t>
      </w:r>
    </w:p>
    <w:p>
      <w:r>
        <w:t>The site is located within the Harwick River catchment. Two minor watercourses traverse the southern portion of the site: Millbrook Drain and Saddleworth Stream. The Environment Agency Flood Map shows the majority of the site to be within Flood Zone 1 (low probability of flooding), with a narrow riparian corridor along Saddleworth Stream classified as Flood Zone 2.</w:t>
      </w:r>
    </w:p>
    <w:p>
      <w:r>
        <w:t>Groundwater depth ranges from 4.5m to 8.2m below ground level across the site, based on monitoring data from three boreholes installed during the geotechnical investigation phase. The site overlies the Harwick Sandstone Aquifer, designated as a Secondary A aquifer by the Environment Agency.</w:t>
      </w:r>
    </w:p>
    <w:p>
      <w:pPr>
        <w:pStyle w:val="Heading2"/>
      </w:pPr>
      <w:r>
        <w:t>3.3 Landscape and Visual</w:t>
      </w:r>
    </w:p>
    <w:p>
      <w:r>
        <w:t>The site lies within the Harwick Vale Agricultural Landscape Character Area. The surrounding landscape is characterised by gently undulating arable farmland with scattered woodland blocks and linear hedgerow networks. The site is not located within any statutory landscape designation; the nearest Area of Outstanding Natural Beauty (AONB) lies 14.7 km to the north-east.</w:t>
      </w:r>
    </w:p>
    <w:p>
      <w:r>
        <w:br w:type="page"/>
      </w:r>
    </w:p>
    <w:p>
      <w:pPr>
        <w:pStyle w:val="Heading1"/>
      </w:pPr>
      <w:r>
        <w:t>4. Impact Assessment</w:t>
      </w:r>
    </w:p>
    <w:p>
      <w:pPr>
        <w:pStyle w:val="Heading2"/>
      </w:pPr>
      <w:r>
        <w:t>4.1 Construction Phase Impacts</w:t>
      </w:r>
    </w:p>
    <w:p>
      <w:r>
        <w:t>During the construction phase, key environmental impacts are anticipated in relation to the following receptors: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sz w:val="20"/>
              </w:rPr>
              <w:t>Impact Type</w:t>
            </w:r>
          </w:p>
        </w:tc>
        <w:tc>
          <w:tcPr>
            <w:tcW w:type="dxa" w:w="2256"/>
          </w:tcPr>
          <w:p>
            <w:r>
              <w:rPr>
                <w:b/>
                <w:sz w:val="20"/>
              </w:rPr>
              <w:t>Receptor</w:t>
            </w:r>
          </w:p>
        </w:tc>
        <w:tc>
          <w:tcPr>
            <w:tcW w:type="dxa" w:w="2256"/>
          </w:tcPr>
          <w:p>
            <w:r>
              <w:rPr>
                <w:b/>
                <w:sz w:val="20"/>
              </w:rPr>
              <w:t>Magnitude</w:t>
            </w:r>
          </w:p>
        </w:tc>
        <w:tc>
          <w:tcPr>
            <w:tcW w:type="dxa" w:w="2256"/>
          </w:tcPr>
          <w:p>
            <w:r>
              <w:rPr>
                <w:b/>
                <w:sz w:val="20"/>
              </w:rPr>
              <w:t>Significance</w:t>
            </w:r>
          </w:p>
        </w:tc>
      </w:tr>
      <w:tr>
        <w:tc>
          <w:tcPr>
            <w:tcW w:type="dxa" w:w="2256"/>
          </w:tcPr>
          <w:p>
            <w:r>
              <w:rPr>
                <w:sz w:val="20"/>
              </w:rPr>
              <w:t>Dust &amp; Noise</w:t>
            </w:r>
          </w:p>
        </w:tc>
        <w:tc>
          <w:tcPr>
            <w:tcW w:type="dxa" w:w="2256"/>
          </w:tcPr>
          <w:p>
            <w:r>
              <w:rPr>
                <w:sz w:val="20"/>
              </w:rPr>
              <w:t>Local residents (≤500m)</w:t>
            </w:r>
          </w:p>
        </w:tc>
        <w:tc>
          <w:tcPr>
            <w:tcW w:type="dxa" w:w="2256"/>
          </w:tcPr>
          <w:p>
            <w:r>
              <w:rPr>
                <w:sz w:val="20"/>
              </w:rPr>
              <w:t>Moderate</w:t>
            </w:r>
          </w:p>
        </w:tc>
        <w:tc>
          <w:tcPr>
            <w:tcW w:type="dxa" w:w="2256"/>
          </w:tcPr>
          <w:p>
            <w:r>
              <w:rPr>
                <w:sz w:val="20"/>
              </w:rPr>
              <w:t>Moderate Adverse</w:t>
            </w:r>
          </w:p>
        </w:tc>
      </w:tr>
      <w:tr>
        <w:tc>
          <w:tcPr>
            <w:tcW w:type="dxa" w:w="2256"/>
          </w:tcPr>
          <w:p>
            <w:r>
              <w:rPr>
                <w:sz w:val="20"/>
              </w:rPr>
              <w:t>Ecology</w:t>
            </w:r>
          </w:p>
        </w:tc>
        <w:tc>
          <w:tcPr>
            <w:tcW w:type="dxa" w:w="2256"/>
          </w:tcPr>
          <w:p>
            <w:r>
              <w:rPr>
                <w:sz w:val="20"/>
              </w:rPr>
              <w:t>Nesting birds, hedgerows</w:t>
            </w:r>
          </w:p>
        </w:tc>
        <w:tc>
          <w:tcPr>
            <w:tcW w:type="dxa" w:w="2256"/>
          </w:tcPr>
          <w:p>
            <w:r>
              <w:rPr>
                <w:sz w:val="20"/>
              </w:rPr>
              <w:t>Low-Moderate</w:t>
            </w:r>
          </w:p>
        </w:tc>
        <w:tc>
          <w:tcPr>
            <w:tcW w:type="dxa" w:w="2256"/>
          </w:tcPr>
          <w:p>
            <w:r>
              <w:rPr>
                <w:sz w:val="20"/>
              </w:rPr>
              <w:t>Minor Adverse</w:t>
            </w:r>
          </w:p>
        </w:tc>
      </w:tr>
      <w:tr>
        <w:tc>
          <w:tcPr>
            <w:tcW w:type="dxa" w:w="2256"/>
          </w:tcPr>
          <w:p>
            <w:r>
              <w:rPr>
                <w:sz w:val="20"/>
              </w:rPr>
              <w:t>Hydrology</w:t>
            </w:r>
          </w:p>
        </w:tc>
        <w:tc>
          <w:tcPr>
            <w:tcW w:type="dxa" w:w="2256"/>
          </w:tcPr>
          <w:p>
            <w:r>
              <w:rPr>
                <w:sz w:val="20"/>
              </w:rPr>
              <w:t>Saddleworth Stream</w:t>
            </w:r>
          </w:p>
        </w:tc>
        <w:tc>
          <w:tcPr>
            <w:tcW w:type="dxa" w:w="2256"/>
          </w:tcPr>
          <w:p>
            <w:r>
              <w:rPr>
                <w:sz w:val="20"/>
              </w:rPr>
              <w:t>Low</w:t>
            </w:r>
          </w:p>
        </w:tc>
        <w:tc>
          <w:tcPr>
            <w:tcW w:type="dxa" w:w="2256"/>
          </w:tcPr>
          <w:p>
            <w:r>
              <w:rPr>
                <w:sz w:val="20"/>
              </w:rPr>
              <w:t>Negligible</w:t>
            </w:r>
          </w:p>
        </w:tc>
      </w:tr>
      <w:tr>
        <w:tc>
          <w:tcPr>
            <w:tcW w:type="dxa" w:w="2256"/>
          </w:tcPr>
          <w:p>
            <w:r>
              <w:rPr>
                <w:sz w:val="20"/>
              </w:rPr>
              <w:t>Traffic</w:t>
            </w:r>
          </w:p>
        </w:tc>
        <w:tc>
          <w:tcPr>
            <w:tcW w:type="dxa" w:w="2256"/>
          </w:tcPr>
          <w:p>
            <w:r>
              <w:rPr>
                <w:sz w:val="20"/>
              </w:rPr>
              <w:t>B4321 road corridor</w:t>
            </w:r>
          </w:p>
        </w:tc>
        <w:tc>
          <w:tcPr>
            <w:tcW w:type="dxa" w:w="2256"/>
          </w:tcPr>
          <w:p>
            <w:r>
              <w:rPr>
                <w:sz w:val="20"/>
              </w:rPr>
              <w:t>Moderate</w:t>
            </w:r>
          </w:p>
        </w:tc>
        <w:tc>
          <w:tcPr>
            <w:tcW w:type="dxa" w:w="2256"/>
          </w:tcPr>
          <w:p>
            <w:r>
              <w:rPr>
                <w:sz w:val="20"/>
              </w:rPr>
              <w:t>Minor Adverse</w:t>
            </w:r>
          </w:p>
        </w:tc>
      </w:tr>
      <w:tr>
        <w:tc>
          <w:tcPr>
            <w:tcW w:type="dxa" w:w="2256"/>
          </w:tcPr>
          <w:p>
            <w:r>
              <w:rPr>
                <w:sz w:val="20"/>
              </w:rPr>
              <w:t>Archaeology</w:t>
            </w:r>
          </w:p>
        </w:tc>
        <w:tc>
          <w:tcPr>
            <w:tcW w:type="dxa" w:w="2256"/>
          </w:tcPr>
          <w:p>
            <w:r>
              <w:rPr>
                <w:sz w:val="20"/>
              </w:rPr>
              <w:t>Buried heritage features</w:t>
            </w:r>
          </w:p>
        </w:tc>
        <w:tc>
          <w:tcPr>
            <w:tcW w:type="dxa" w:w="2256"/>
          </w:tcPr>
          <w:p>
            <w:r>
              <w:rPr>
                <w:sz w:val="20"/>
              </w:rPr>
              <w:t>Unknown</w:t>
            </w:r>
          </w:p>
        </w:tc>
        <w:tc>
          <w:tcPr>
            <w:tcW w:type="dxa" w:w="2256"/>
          </w:tcPr>
          <w:p>
            <w:r>
              <w:rPr>
                <w:sz w:val="20"/>
              </w:rPr>
              <w:t>Uncertain</w:t>
            </w:r>
          </w:p>
        </w:tc>
      </w:tr>
    </w:tbl>
    <w:p/>
    <w:p>
      <w:pPr>
        <w:pStyle w:val="Heading2"/>
      </w:pPr>
      <w:r>
        <w:t>4.2 Operational Phase Impacts</w:t>
      </w:r>
    </w:p>
    <w:p>
      <w:r>
        <w:t>During the operational phase, the main environmental concerns relate to visual impact, ecological colonisation of the solar arrays, and electromagnetic interference. A detailed glint and glare assessment was undertaken using ShadowFX v4.2 modelling software, confirming that no significant glare will be experienced at residential receptors or the local aerodrome.</w:t>
      </w:r>
    </w:p>
    <w:p>
      <w:r>
        <w:t>Operational noise levels from inverter units are predicted to be below 40 dB(A) at the nearest residential receptor (Millbrook Farm, 320m north-east), well within the agreed noise limit of 45 dB(A). Thermal management of inverter units incorporates passive cooling design to eliminate mechanical fan noise as a source.</w:t>
      </w:r>
    </w:p>
    <w:p>
      <w:r>
        <w:br w:type="page"/>
      </w:r>
    </w:p>
    <w:p>
      <w:pPr>
        <w:pStyle w:val="Heading1"/>
      </w:pPr>
      <w:r>
        <w:t>5. Mitigation Measures</w:t>
      </w:r>
    </w:p>
    <w:p>
      <w:pPr>
        <w:pStyle w:val="Heading2"/>
      </w:pPr>
      <w:r>
        <w:t>5.1 Ecological Mitigation</w:t>
      </w:r>
    </w:p>
    <w:p>
      <w:r>
        <w:t>An ecological mitigation and enhancement strategy has been developed by Dawnfield Ecology Ltd and forms a key component of the Environmental Management Plan. The principal mitigation measures are:</w:t>
      </w:r>
    </w:p>
    <w:p>
      <w:pPr>
        <w:pStyle w:val="ListBullet"/>
      </w:pPr>
      <w:r>
        <w:t>Hedgerow translocation and replanting: all Important Hedgerows within the development footprint will be translocated to new boundary positions or replaced with native species hedgerows of equivalent or greater ecological value.</w:t>
      </w:r>
    </w:p>
    <w:p>
      <w:pPr>
        <w:pStyle w:val="ListBullet"/>
      </w:pPr>
      <w:r>
        <w:t>Seasonal working restrictions: vegetation clearance and ground preparation works will be restricted to the period September to February to avoid the nesting season and to minimise disturbance to brown hare during the levereting season.</w:t>
      </w:r>
    </w:p>
    <w:p>
      <w:pPr>
        <w:pStyle w:val="ListBullet"/>
      </w:pPr>
      <w:r>
        <w:t>Meadow grassland establishment: a minimum of 35 hectares of the solar array area will be sown with a native wildflower meadow mix to provide foraging and nesting habitat for pollinators and ground-nesting birds.</w:t>
      </w:r>
    </w:p>
    <w:p>
      <w:pPr>
        <w:pStyle w:val="Heading2"/>
      </w:pPr>
      <w:r>
        <w:t>5.2 Hydrological Mitigation</w:t>
      </w:r>
    </w:p>
    <w:p>
      <w:r>
        <w:t>A Surface Water Drainage Scheme has been developed in consultation with the Lead Local Flood Authority. The scheme incorporates swales, permeable gravel access tracks, and vegetated buffer strips of 8m width along all watercourses. Post-development run-off rates will not exceed pre-development greenfield rates for 1-in-100 year plus 40% climate change storm events.</w:t>
      </w:r>
    </w:p>
    <w:p>
      <w:r>
        <w:br w:type="page"/>
      </w:r>
    </w:p>
    <w:p>
      <w:pPr>
        <w:pStyle w:val="Heading1"/>
      </w:pPr>
      <w:r>
        <w:t>6. Cumulative and In-Combination Impacts</w:t>
      </w:r>
    </w:p>
    <w:p>
      <w:r>
        <w:t>A cumulative impact assessment was undertaken considering the combined effects of the proposed development with three other consented or proposed renewable energy projects within a 15 km study area: the Coldbury Wind Farm (8 turbines, consented 2022), the Pembridge Anaerobic Digestion Plant (under construction), and the Oakfield Battery Storage facility (planning application submitted).</w:t>
      </w:r>
    </w:p>
    <w:p>
      <w:r>
        <w:t>The cumulative landscape and visual impact of the solar farm, considered alongside the Coldbury Wind Farm, was assessed for nine viewpoints across the study area. At six of the nine viewpoints, the cumulative effect was assessed as Minor Adverse or Negligible. At three viewpoints from elevated ground to the north (VP-04, VP-07, and VP-09), the cumulative effect was assessed as Moderate Adverse, though this is considered acceptable given the nature of the landscape and distance of the receptors.</w:t>
      </w:r>
    </w:p>
    <w:p>
      <w:r>
        <w:t>Cumulative ecological impacts, particularly in relation to the habitat connectivity corridor along Saddleworth Stream, were assessed as Negligible following the application of the mitigation measures described in Section 5. The combined habitat enhancement area across all four projects represents a net biodiversity gain of approximately 14.7 BNG units within the study area.</w:t>
      </w:r>
    </w:p>
    <w:p>
      <w:r>
        <w:br w:type="page"/>
      </w:r>
    </w:p>
    <w:p>
      <w:pPr>
        <w:pStyle w:val="Heading1"/>
      </w:pPr>
      <w:r>
        <w:t>7. Conclusions and Environmental Statement</w:t>
      </w:r>
    </w:p>
    <w:p>
      <w:r>
        <w:t>This Environmental Impact Assessment has demonstrated that the Greenfield Solar Farm Development Project, when constructed and operated in accordance with the proposed Environmental Management Plan, will not result in any significant adverse environmental impacts that cannot be adequately mitigated.</w:t>
      </w:r>
    </w:p>
    <w:p>
      <w:r>
        <w:t>The project will make a substantial contribution to the United Kingdom's renewable energy targets, generating sufficient clean electricity to power approximately 18,500 average homes per year and displacing approximately 23,400 tonnes of CO2-equivalent emissions annually over its 35-year operational life.</w:t>
      </w:r>
    </w:p>
    <w:p>
      <w:r>
        <w:t>Meridian Environmental Consultants Ltd certifies that this Environmental Impact Assessment has been prepared in accordance with the Town and Country Planning (Environmental Impact Assessment) Regulations 2017 and associated guidance. The information contained herein is accurate and complete to the best of our professional knowledge and judgement.</w:t>
      </w:r>
    </w:p>
    <w:p>
      <w:pPr>
        <w:spacing w:before="480"/>
      </w:pPr>
      <w:r>
        <w:rPr>
          <w:sz w:val="22"/>
        </w:rPr>
        <w:t>Dr. Amanda Forsythe, MCIEEM</w:t>
        <w:br/>
        <w:t>Principal Ecologist &amp; Project Lead</w:t>
        <w:br/>
        <w:t>Meridian Environmental Consultants Ltd</w:t>
        <w:br/>
        <w:t>Date of Issue: 14 March 2025</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